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/>
          <w:sz w:val="84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2018年</w:t>
      </w:r>
    </w:p>
    <w:p>
      <w:pPr>
        <w:jc w:val="center"/>
        <w:rPr>
          <w:rFonts w:hint="eastAsia" w:ascii="方正小标宋简体" w:hAnsi="方正小标宋简体" w:eastAsia="方正小标宋简体"/>
          <w:sz w:val="56"/>
        </w:rPr>
      </w:pPr>
      <w:r>
        <w:rPr>
          <w:rFonts w:hint="eastAsia" w:ascii="方正小标宋简体" w:hAnsi="方正小标宋简体" w:eastAsia="方正小标宋简体"/>
          <w:sz w:val="56"/>
        </w:rPr>
        <w:t>高新区党政办公室部门预算</w:t>
      </w: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jc w:val="center"/>
        <w:rPr>
          <w:rFonts w:hint="eastAsia" w:ascii="黑体" w:hAnsi="黑体" w:eastAsia="黑体"/>
          <w:sz w:val="44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高新区党政办公室概况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高新区党政办公室2018年部门预算表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十一、部门预算项目支出预算表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高新区党政办公室2018年部门预算情况说明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高新区党政办公室概况</w:t>
      </w:r>
    </w:p>
    <w:p>
      <w:pPr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pStyle w:val="4"/>
        <w:shd w:val="clear" w:color="auto" w:fill="FFFFFF"/>
        <w:spacing w:before="0" w:after="0"/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负责市高新区党工委、管委会机关日常事务协调、综合文秘、政策研究、法制、保密、档案、机要、宣传、地方志、信息公开等工作;检查督促市高新区党工委、管委会各项决议、决定、重要工作部署的贯彻落实情况;组织相关的调查研究，及时反映情况，提出建议意见;负责重要会议和重大活动的组织安排;负责党建、组织、人事调配、工资福利、机构编制管理、思想工作和精神文明建设、老干部、群团组织等工作;负责因公出国(境)申报工作;负责机关的绩效考核工作;负责管理和指导行政服务、机关后勤、接待等工作。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ind w:firstLine="640" w:firstLineChars="200"/>
        <w:rPr>
          <w:rFonts w:hint="eastAsia" w:ascii="黑体" w:hAnsi="黑体" w:eastAsia="黑体"/>
          <w:sz w:val="44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（二）本部门无内设机构，共20名人员，其中主任1名、副主任3名。</w:t>
      </w:r>
    </w:p>
    <w:p>
      <w:pPr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rPr>
          <w:rFonts w:hint="eastAsia" w:ascii="方正小标宋简体" w:hAnsi="方正小标宋简体" w:eastAsia="方正小标宋简体"/>
          <w:sz w:val="44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ind w:firstLine="640"/>
        <w:rPr>
          <w:rFonts w:hint="eastAsia" w:ascii="黑体" w:hAnsi="黑体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2018年本部门收入预算900.6万元，比上年增加30.4万元，增长3.49%；支出预算900.6万元，比上年增加30.4万元，增长3.49%。变化原因是新增部分预算项目：河源日报宣传合作费30万元等项目。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2018年本部门“三公”经费预算安排5万元，比上年减少3万元，下降37.5%。其中：因公出国（境）费0万元；公务用车购置及运行费0万元；公务接待费5万元，比上年减少3万元，下降37.5%。变化原因是按需列支。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numPr>
          <w:ilvl w:val="0"/>
          <w:numId w:val="0"/>
        </w:numPr>
        <w:rPr>
          <w:rFonts w:hint="eastAsia" w:ascii="楷体_GB2312" w:hAnsi="楷体_GB2312" w:eastAsia="楷体_GB2312"/>
          <w:color w:val="auto"/>
          <w:sz w:val="32"/>
          <w:highlight w:val="lightGray"/>
          <w:shd w:val="clear" w:color="FFFFFF" w:fill="D9D9D9"/>
        </w:rPr>
      </w:pPr>
      <w:r>
        <w:rPr>
          <w:rFonts w:hint="eastAsia" w:ascii="黑体" w:hAnsi="黑体" w:eastAsia="黑体"/>
          <w:sz w:val="32"/>
        </w:rPr>
        <w:t xml:space="preserve">   </w:t>
      </w:r>
      <w:r>
        <w:rPr>
          <w:rFonts w:hint="eastAsia" w:ascii="仿宋" w:hAnsi="仿宋" w:eastAsia="仿宋"/>
          <w:sz w:val="32"/>
        </w:rPr>
        <w:t xml:space="preserve"> 无。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977E9"/>
    <w:rsid w:val="2CB977E9"/>
    <w:rsid w:val="53FE17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qFormat="1"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unhideWhenUsed/>
    <w:qFormat/>
    <w:uiPriority w:val="99"/>
    <w:rPr>
      <w:rFonts w:hint="default"/>
      <w:sz w:val="24"/>
    </w:rPr>
  </w:style>
  <w:style w:type="table" w:default="1" w:styleId="7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sz w:val="24"/>
    </w:rPr>
  </w:style>
  <w:style w:type="character" w:styleId="6">
    <w:name w:val="page number"/>
    <w:basedOn w:val="5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8">
    <w:name w:val="页眉 Char"/>
    <w:basedOn w:val="5"/>
    <w:link w:val="3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9">
    <w:name w:val="页脚 Char"/>
    <w:basedOn w:val="5"/>
    <w:link w:val="2"/>
    <w:unhideWhenUsed/>
    <w:qFormat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Q\&#20851;&#20110;&#24066;&#39640;&#26032;&#21306;2018&#24180;&#37096;&#38376;&#39044;&#31639;&#20844;&#24320;&#30340;&#25991;&#23383;\&#20826;&#25919;&#21150;2018&#24180;&#37096;&#38376;&#39044;&#31639;&#20844;&#2432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党政办2018年部门预算公开.dotx</Template>
  <Pages>5</Pages>
  <Words>928</Words>
  <Characters>981</Characters>
  <TotalTime>0</TotalTime>
  <ScaleCrop>false</ScaleCrop>
  <LinksUpToDate>false</LinksUpToDate>
  <CharactersWithSpaces>1006</CharactersWithSpaces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2018-08-28T09:20:00Z</dcterms:created>
  <dc:creator>Administrator</dc:creator>
  <cp:lastModifiedBy>Administrator</cp:lastModifiedBy>
  <dcterms:modified xsi:type="dcterms:W3CDTF">2018-08-28T09:21:00Z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