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9E" w:rsidRDefault="0092053D">
      <w:pPr>
        <w:spacing w:line="576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01289E" w:rsidRDefault="0001289E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1289E" w:rsidRDefault="0092053D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推进防灾减灾救灾体制机制改革分工方案</w:t>
      </w:r>
    </w:p>
    <w:p w:rsidR="0001289E" w:rsidRDefault="0001289E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15030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6"/>
        <w:gridCol w:w="5219"/>
        <w:gridCol w:w="3286"/>
        <w:gridCol w:w="3584"/>
        <w:gridCol w:w="1545"/>
      </w:tblGrid>
      <w:tr w:rsidR="0001289E">
        <w:trPr>
          <w:trHeight w:val="720"/>
          <w:tblHeader/>
          <w:jc w:val="center"/>
        </w:trPr>
        <w:tc>
          <w:tcPr>
            <w:tcW w:w="1396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改革事项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具体举措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牵头部门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主要配合部门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完成时间</w:t>
            </w:r>
          </w:p>
        </w:tc>
      </w:tr>
      <w:tr w:rsidR="0001289E">
        <w:trPr>
          <w:trHeight w:val="90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健全统筹协调体制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．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减灾委员会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加强对防灾减灾救灾工作的统筹指导和综合协调，强化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减灾委员会办公室在灾情信息管理、综合风险防范、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受灾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群众生活救助、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救灾物资储备、</w:t>
            </w:r>
            <w:r>
              <w:rPr>
                <w:rFonts w:ascii="仿宋_GB2312" w:hAnsi="仿宋_GB2312" w:cs="仿宋_GB2312" w:hint="eastAsia"/>
                <w:spacing w:val="-6"/>
                <w:sz w:val="24"/>
                <w:szCs w:val="24"/>
              </w:rPr>
              <w:t>科普宣传教育等方面的工作职能和能力建设。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减灾委员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相关成员单位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40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．建立各级减灾委员会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与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防汛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旱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防风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指挥部、抗震救灾指挥部、森林防火指挥部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、重大气象灾害应急指挥部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等机构之间，以及与军队、武警部队之间的工作协同制度，健全工作规程。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林业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气象局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9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．加强防灾减灾骨干工程建设，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对病险水库（闸）、江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河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堤围、行洪河道、易涝区、山洪灾害危险区、地质灾害隐患点、尾矿库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、削坡建房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等灾害隐患进行综合治理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，推进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自然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灾害隐患点居民搬迁工程。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国土资源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市安全监管局、市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住房城乡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规划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ind w:firstLineChars="50" w:firstLine="12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010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健全统筹协调体制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落实上级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工程建设标准体系，提升灾害高风险区域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内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学校、医院、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居民住房、基础设施及危化企业和临建设施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的设防水平和承灾能力。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住房城乡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规划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公安消防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01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．推进实施农村危房改造工程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，推广农村民居实用抗震技术。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住房城乡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规划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385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加强部门协调，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制定应急避难场所建设、管理和维护相关技术标准和规范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，推进各类应急避难场所建设，建立应急避难场所信息数据库。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住房城乡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规划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地震局、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人防办等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379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加强城市排水防涝设施及农村承洪区治涝能力建设，做好江河警戒水位核定，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增强城市防涝能力。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市城市管理执法局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01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．加强农田水利、农业气象等农业、渔业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、林业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防灾减灾基础设施建设，提升农业、渔业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、林业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抗灾能力。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市林业局、市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气象局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农业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722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．将防灾减灾纳入国民教育计划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教育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690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健全统筹协调体制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加强科普宣传教育基地建设。强化防灾救灾演练，广泛开展应急救护技能培训和逃生避险演练，提升公众的风险防范意识和应急避险、自救互救技能。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气象局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公安消防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科协、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红十字会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69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．推进防震减灾示范城市创建，深入创建综合减灾示范社区，探索建设社区防灾减灾科普体验场馆，引入社区灾害风险管理模式，制定社区减灾工作指引，提高基层综合防灾减灾能力。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ind w:firstLineChars="50" w:firstLine="12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气象局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公安消防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科协、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红十字会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575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探索建立灾情信息、救灾物资、救援力量等方面的区域协同联动机制，建立完善区域灾害救助应急指挥系统。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355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重特大自然灾害灾后恢复重建坚持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中央和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统筹指导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，市县党委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政府具体负责，灾区群众广泛参与的机制。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发展改革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财政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住房城乡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规划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710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健全属地管理体制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建立各级党委政府协调军队和武警部队参与抢险救灾工作制度，明确工作程序，细化部队参与抢险救灾的工作任务。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林业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河源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军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分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区、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武警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支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队、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公安消防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893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加强救灾应急专业力量建设，统筹军地各类应急救援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资源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，组织军地联训联演。将军队、武警部队和民兵预备役有关抢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险救援应急力量纳入驻在地应急救援力量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河源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军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分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区、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武警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支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队、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公安消防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ind w:firstLineChars="50" w:firstLine="12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林业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2340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完善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社会力量和市场参与机制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研究制定和完善社会力量参与防灾减灾救灾的相关政策、行业标准、行为准则，搭建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社会组织、志愿者等社会力量参与的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协调服务平台和信息导向平台。完善政府与社会力量协同救灾联动机制。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ind w:firstLineChars="50" w:firstLine="12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团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委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红十字会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489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全面实施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巨灾保险制度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农业保险和农村住房保险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等惠民保险政策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财政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农业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金融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市气象局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642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全面提升综合减灾能力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成立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减灾委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员会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专家委员会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市减灾委员会相关成员单位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581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健全完善防灾联合督察机制，加强灾害风险评估、隐患排查治理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，完善灾前群众避险转移安置机制。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市水务局、市国土资源局、市住房城乡规划建设局、市农业局、市林业局、市地震局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010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全面提升综合减灾能力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．加快各种灾害监测站网和民用空间基础设施建设，完善自然灾害监测预报预警体系。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气象局、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农业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林业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国土资源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地震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231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建立健全预警信息发布制度，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突发事件预警信息发布系统能力建设。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气象局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3008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利用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全省防灾减灾综合信息平台和决策指挥系统，民政、国土资源、水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务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、林业、地震、气象等涉灾部门、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中央和省河源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有关单位和部队实现灾害风险、监测预警、灾情以及救灾工作动态等信息互联互通，初步建立全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自然灾害大数据库。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市民政局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市减灾委员会相关成员单位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75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全面提升综合减灾能力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落实自然灾害情况统计制度，完善灾情会商机制，统一灾情报送口径，规范自然灾害损失综合评估工作流程。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减灾委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员会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相关成员单位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01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完善自然灾害信息发布和舆情应对机制。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加强领导干部和新闻发言人自然灾害事件信息发布能力培训。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委宣传部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局、市水务局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82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健全救灾物资储备体系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发展改革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局、市商务局、市卫生计生局、市粮食局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966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完善应急运力储备与调运机制，推进应急物资综合信息平台建设。完善通信、能源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、交通运输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等方面的应急保障预案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6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发展改革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经济和信息化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交通运输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101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建立健全应急救援期社会物资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运输工具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设施装备等的征用和补偿机制。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财政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720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加强防灾减灾救灾人才培养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，开展防灾减灾救灾教育培训。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教育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597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建立自然灾害救助信息平台。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9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pacing w:val="-9"/>
                <w:sz w:val="24"/>
                <w:szCs w:val="24"/>
              </w:rPr>
              <w:t>发展改革</w:t>
            </w:r>
            <w:r>
              <w:rPr>
                <w:rFonts w:ascii="仿宋_GB2312" w:hAnsi="仿宋_GB2312" w:cs="仿宋_GB2312" w:hint="eastAsia"/>
                <w:spacing w:val="-9"/>
                <w:sz w:val="24"/>
                <w:szCs w:val="24"/>
              </w:rPr>
              <w:t>局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589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统筹协调防灾减灾救灾科技资源和力量，建立科技支撑防灾减灾救灾工作的政策措施和长效机制。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869"/>
          <w:jc w:val="center"/>
        </w:trPr>
        <w:tc>
          <w:tcPr>
            <w:tcW w:w="1396" w:type="dxa"/>
            <w:vMerge w:val="restart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保障措施</w:t>
            </w: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加强防灾减灾救灾政策体系建设，及时修订各类自然灾害专项应急预案和工作规程。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减灾委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员会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相关成员单位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  <w:tr w:rsidR="0001289E">
        <w:trPr>
          <w:trHeight w:val="1667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健全防灾减灾救灾资金多元投入机制，采取政府购买服务等方式，充实基层防灾减灾救灾人员和技术力量。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财政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发展改革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01289E" w:rsidRDefault="0001289E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</w:p>
        </w:tc>
      </w:tr>
      <w:tr w:rsidR="0001289E">
        <w:trPr>
          <w:trHeight w:val="999"/>
          <w:jc w:val="center"/>
        </w:trPr>
        <w:tc>
          <w:tcPr>
            <w:tcW w:w="1396" w:type="dxa"/>
            <w:vMerge/>
            <w:vAlign w:val="center"/>
          </w:tcPr>
          <w:p w:rsidR="0001289E" w:rsidRDefault="0001289E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219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加强协调，统筹推进，对实施进度进行跟踪分析和督促检查。</w:t>
            </w:r>
          </w:p>
        </w:tc>
        <w:tc>
          <w:tcPr>
            <w:tcW w:w="3286" w:type="dxa"/>
            <w:vAlign w:val="center"/>
          </w:tcPr>
          <w:p w:rsidR="0001289E" w:rsidRDefault="0092053D">
            <w:pPr>
              <w:spacing w:line="38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民政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</w:tc>
        <w:tc>
          <w:tcPr>
            <w:tcW w:w="3584" w:type="dxa"/>
            <w:vAlign w:val="center"/>
          </w:tcPr>
          <w:p w:rsidR="0001289E" w:rsidRDefault="0092053D">
            <w:pPr>
              <w:spacing w:line="38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减灾委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员会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成员单位</w:t>
            </w:r>
          </w:p>
        </w:tc>
        <w:tc>
          <w:tcPr>
            <w:tcW w:w="1545" w:type="dxa"/>
            <w:vAlign w:val="center"/>
          </w:tcPr>
          <w:p w:rsidR="0001289E" w:rsidRDefault="0092053D">
            <w:pPr>
              <w:spacing w:line="3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</w:t>
            </w:r>
          </w:p>
        </w:tc>
      </w:tr>
    </w:tbl>
    <w:p w:rsidR="0001289E" w:rsidRDefault="0001289E">
      <w:pPr>
        <w:sectPr w:rsidR="0001289E">
          <w:footerReference w:type="default" r:id="rId7"/>
          <w:footerReference w:type="first" r:id="rId8"/>
          <w:pgSz w:w="16838" w:h="11906" w:orient="landscape"/>
          <w:pgMar w:top="1587" w:right="2098" w:bottom="1474" w:left="1984" w:header="851" w:footer="1559" w:gutter="0"/>
          <w:pgNumType w:fmt="numberInDash"/>
          <w:cols w:space="720"/>
          <w:titlePg/>
          <w:docGrid w:type="lines" w:linePitch="442"/>
        </w:sectPr>
      </w:pPr>
    </w:p>
    <w:p w:rsidR="0001289E" w:rsidRDefault="0001289E"/>
    <w:p w:rsidR="0001289E" w:rsidRDefault="0001289E"/>
    <w:sectPr w:rsidR="0001289E" w:rsidSect="00012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3D" w:rsidRDefault="0092053D" w:rsidP="0001289E">
      <w:r>
        <w:separator/>
      </w:r>
    </w:p>
  </w:endnote>
  <w:endnote w:type="continuationSeparator" w:id="1">
    <w:p w:rsidR="0092053D" w:rsidRDefault="0092053D" w:rsidP="0001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9E" w:rsidRDefault="0001289E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 filled="f" stroked="f">
          <v:textbox style="mso-fit-shape-to-text:t" inset="0,0,0,0">
            <w:txbxContent>
              <w:p w:rsidR="0001289E" w:rsidRDefault="0001289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92053D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FA1521" w:rsidRPr="00FA1521">
                  <w:rPr>
                    <w:noProof/>
                  </w:rPr>
                  <w:t>8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9E" w:rsidRDefault="0001289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 filled="f" stroked="f">
          <v:textbox style="mso-fit-shape-to-text:t" inset="0,0,0,0">
            <w:txbxContent>
              <w:p w:rsidR="0001289E" w:rsidRDefault="0001289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92053D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FA1521" w:rsidRPr="00FA1521">
                  <w:rPr>
                    <w:noProof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3D" w:rsidRDefault="0092053D" w:rsidP="0001289E">
      <w:r>
        <w:separator/>
      </w:r>
    </w:p>
  </w:footnote>
  <w:footnote w:type="continuationSeparator" w:id="1">
    <w:p w:rsidR="0092053D" w:rsidRDefault="0092053D" w:rsidP="00012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6E7BD6"/>
    <w:rsid w:val="0001289E"/>
    <w:rsid w:val="0092053D"/>
    <w:rsid w:val="00FA1521"/>
    <w:rsid w:val="128F0E9B"/>
    <w:rsid w:val="26395660"/>
    <w:rsid w:val="3DD250F5"/>
    <w:rsid w:val="3FB53C73"/>
    <w:rsid w:val="4A733077"/>
    <w:rsid w:val="53744E5C"/>
    <w:rsid w:val="55DA55CA"/>
    <w:rsid w:val="564B59B6"/>
    <w:rsid w:val="5E6037A8"/>
    <w:rsid w:val="5FD939E9"/>
    <w:rsid w:val="6A0A05B0"/>
    <w:rsid w:val="6B6E7BD6"/>
    <w:rsid w:val="76D35422"/>
    <w:rsid w:val="772A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89E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289E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customStyle="1" w:styleId="DefaultParagraphFontParaChar">
    <w:name w:val="Default Paragraph Font Para Char"/>
    <w:basedOn w:val="a"/>
    <w:qFormat/>
    <w:rsid w:val="0001289E"/>
    <w:pPr>
      <w:widowControl/>
      <w:spacing w:line="240" w:lineRule="exact"/>
      <w:jc w:val="left"/>
    </w:pPr>
    <w:rPr>
      <w:rFonts w:eastAsia="宋体"/>
      <w:sz w:val="30"/>
      <w:szCs w:val="24"/>
    </w:rPr>
  </w:style>
  <w:style w:type="character" w:styleId="a4">
    <w:name w:val="Strong"/>
    <w:basedOn w:val="a0"/>
    <w:qFormat/>
    <w:rsid w:val="0001289E"/>
    <w:rPr>
      <w:rFonts w:ascii="Times New Roman" w:eastAsia="宋体" w:hAnsi="Times New Roman" w:cs="Times New Roman"/>
      <w:b/>
      <w:bCs/>
    </w:rPr>
  </w:style>
  <w:style w:type="paragraph" w:customStyle="1" w:styleId="1">
    <w:name w:val="无间隔1"/>
    <w:qFormat/>
    <w:rsid w:val="0001289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Char"/>
    <w:rsid w:val="00FA1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A1521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河源市委 河源市人民政府</dc:title>
  <dc:creator>HY</dc:creator>
  <cp:lastModifiedBy>PC</cp:lastModifiedBy>
  <cp:revision>3</cp:revision>
  <cp:lastPrinted>2018-06-20T01:12:00Z</cp:lastPrinted>
  <dcterms:created xsi:type="dcterms:W3CDTF">2018-03-26T07:42:00Z</dcterms:created>
  <dcterms:modified xsi:type="dcterms:W3CDTF">2018-07-24T03:01:00Z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