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cs="Times New Roman" w:eastAsiaTheme="majorEastAsia"/>
          <w:b w:val="0"/>
          <w:bCs w:val="0"/>
          <w:color w:val="FF0000"/>
          <w:spacing w:val="0"/>
          <w:sz w:val="56"/>
          <w:szCs w:val="56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cs="Times New Roman" w:eastAsiaTheme="majorEastAsia"/>
          <w:b w:val="0"/>
          <w:bCs w:val="0"/>
          <w:color w:val="FF0000"/>
          <w:spacing w:val="0"/>
          <w:sz w:val="52"/>
          <w:szCs w:val="5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spacing w:val="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60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  <w:t>河高环审〔20</w:t>
      </w:r>
      <w:r>
        <w:rPr>
          <w:rFonts w:hint="eastAsia" w:eastAsia="方正仿宋简体" w:cs="Times New Roman"/>
          <w:b w:val="0"/>
          <w:bCs w:val="0"/>
          <w:spacing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〕</w:t>
      </w:r>
      <w:r>
        <w:rPr>
          <w:rFonts w:hint="eastAsia" w:eastAsia="方正仿宋简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关于</w:t>
      </w:r>
      <w:r>
        <w:rPr>
          <w:rFonts w:hint="eastAsia" w:ascii="ti" w:hAnsi="ti" w:eastAsia="方正小标宋简体" w:cs="Times New Roman"/>
          <w:sz w:val="44"/>
          <w:szCs w:val="44"/>
        </w:rPr>
        <w:t>广东顺的精密数控设备有限公司年产数控设备200台、磨刀机200台建设项目（重新报批）</w:t>
      </w:r>
      <w:r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环境影响报告表的批复</w:t>
      </w:r>
    </w:p>
    <w:p>
      <w:pPr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lang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</w:rPr>
        <w:t>广东顺的精密数控设备有限公司</w:t>
      </w:r>
      <w:r>
        <w:rPr>
          <w:rFonts w:hint="default" w:ascii="Times New Roman" w:hAnsi="Times New Roman" w:eastAsia="方正仿宋简体" w:cs="Times New Roman"/>
          <w:spacing w:val="0"/>
          <w:sz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贵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单位报送的《</w:t>
      </w:r>
      <w:r>
        <w:rPr>
          <w:rFonts w:hint="eastAsia" w:ascii="Times New Roman" w:hAnsi="Times New Roman" w:eastAsia="方正仿宋简体" w:cs="Times New Roman"/>
          <w:spacing w:val="0"/>
          <w:sz w:val="32"/>
        </w:rPr>
        <w:t>广东顺的精密数控设备有限公司年产数控设备200台、磨刀机200台建设项目（重新报批）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环境影响报告表》及报批函等材料收悉。经研究，批复如下：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一、广东顺的精密数控设备有限公司位于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河源市高新技术开发区兴工南路东边、滨江南路北面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占地面积为20000.52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m</w:t>
      </w:r>
      <w:r>
        <w:rPr>
          <w:rFonts w:hint="default" w:ascii="Times New Roman" w:hAnsi="Times New Roman" w:eastAsia="方正仿宋简体" w:cs="Times New Roman"/>
          <w:spacing w:val="0"/>
          <w:sz w:val="32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建筑面积为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14515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m</w:t>
      </w:r>
      <w:r>
        <w:rPr>
          <w:rFonts w:hint="default" w:ascii="Times New Roman" w:hAnsi="Times New Roman" w:eastAsia="方正仿宋简体" w:cs="Times New Roman"/>
          <w:spacing w:val="0"/>
          <w:sz w:val="32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，主要从事机电设备和精密数控设备生产，于2018年6月取得建设项目环境影响评价批复（批复号：河环建〔20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18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〕39号），审批规模为年产五轴数控设备100台、金属加工设备60台。现由于产品市场的调整，企业拟进行改扩建，取消金属加工设备的生产，增加数控设备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100台，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新增磨刀机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200台，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总投资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2000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万元，改扩建后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设计年产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数控设备200台、磨刀机200台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，项目劳动定员减至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35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人，其中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20人在厂内食宿，其余15人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不在厂内食宿。年工作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312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天，一班制，每班工作8小时。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根据该项目环境影响报告表评价结论和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广东环境保护工程职业学院技术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评估意见，在落实各项污染防治措施、确保污染物排放稳定达标</w:t>
      </w:r>
      <w:r>
        <w:rPr>
          <w:rFonts w:hint="eastAsia" w:ascii="仿宋_GB2312" w:hAnsi="仿宋_GB2312" w:eastAsia="仿宋_GB2312"/>
          <w:sz w:val="32"/>
          <w:szCs w:val="32"/>
        </w:rPr>
        <w:t>及符合总量控制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的前提下，项目按照报告表中所列的性质、规模、地点建设，从环境保护角度可行。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18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二、项目建设及运营期间，重点做好以下环保工作：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</w:rPr>
        <w:t>（一）做好水污染防治工作。严格执行“雨污分流”制度，雨水排入市政雨水管道；生活</w:t>
      </w:r>
      <w:r>
        <w:rPr>
          <w:rFonts w:hint="default" w:ascii="Times New Roman" w:hAnsi="Times New Roman" w:eastAsia="方正仿宋简体" w:cs="Times New Roman"/>
          <w:spacing w:val="0"/>
          <w:sz w:val="32"/>
          <w:lang w:eastAsia="zh-CN"/>
        </w:rPr>
        <w:t>污水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经预处理达广东省《水污染物排放限值》（DB44/26－2001）第二时段三级标准后纳入市政污水管网，进入</w:t>
      </w:r>
      <w:r>
        <w:rPr>
          <w:rFonts w:hint="eastAsia" w:eastAsia="方正仿宋简体" w:cs="Times New Roman"/>
          <w:spacing w:val="0"/>
          <w:sz w:val="32"/>
          <w:lang w:eastAsia="zh-CN"/>
        </w:rPr>
        <w:t>城市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污水处理厂集中处理。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</w:rPr>
        <w:t>（二）做好大气污染防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治工作。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加强车间通风，金属粉尘和焊接烟尘排放执行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广东省《大气污染物排放限值》（DB44/27-2001）第二时段无组织排放监控浓度限值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</w:rPr>
        <w:t>（三）做好噪声污染防治工作。合理布局机械设备，采取有效的隔声、消声等措施</w:t>
      </w:r>
      <w:r>
        <w:rPr>
          <w:rFonts w:hint="eastAsia" w:eastAsia="方正仿宋简体" w:cs="Times New Roman"/>
          <w:spacing w:val="0"/>
          <w:sz w:val="32"/>
          <w:lang w:eastAsia="zh-CN"/>
        </w:rPr>
        <w:t>降低噪声对周围环境的影响。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项目边界噪声排放执行《工业企业厂界环境噪声排放标准》（GB12348-2008）3类标准。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</w:rPr>
        <w:t>（四）做好固体废物的分类收集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和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综合利用工作，防止造成二次</w:t>
      </w:r>
      <w:r>
        <w:rPr>
          <w:rFonts w:hint="default" w:ascii="Times New Roman" w:hAnsi="Times New Roman" w:eastAsia="方正仿宋简体" w:cs="Times New Roman"/>
          <w:spacing w:val="0"/>
          <w:sz w:val="32"/>
          <w:lang w:eastAsia="zh-CN"/>
        </w:rPr>
        <w:t>污染。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磨削液、导轨油和机油包装桶交由供应商回收利用；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废机油、含机油抹布和含磨削液金属边角料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应按规范要求处理处置，其在厂内暂存应符合《危险废物贮存污染控制标准》（GB18597-2001）；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金属边角料和废包装材料应综合利用或妥善处置，其在厂内暂存应符合《一般工业固体废物贮存、处置场污染控制标准》（GB18599-2001）；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生活垃圾统一收集后由环卫部门清运。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报告表经批准后，项目的性质、规模、地点、采用的生产工艺或者防治污染设施、防止生态破坏的措施发生重大变动的，建设单位应重新报批项目的环境影响评价文件。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、建设项目应严格执行配套建设的环境保护设施与主体工程同时设计、同时施工、同时投产使用的环境保护“三同时”制度。</w:t>
      </w:r>
    </w:p>
    <w:p>
      <w:pPr>
        <w:spacing w:line="600" w:lineRule="exact"/>
        <w:ind w:firstLine="640" w:firstLineChars="200"/>
        <w:rPr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五、</w:t>
      </w:r>
      <w:r>
        <w:rPr>
          <w:rFonts w:hint="eastAsia" w:ascii="仿宋_GB2312" w:hAnsi="仿宋_GB2312"/>
          <w:color w:val="auto"/>
          <w:sz w:val="32"/>
          <w:szCs w:val="32"/>
        </w:rPr>
        <w:t>项目建成后，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请贵单位</w:t>
      </w:r>
      <w:r>
        <w:rPr>
          <w:rFonts w:hint="eastAsia" w:ascii="仿宋_GB2312" w:hAnsi="仿宋_GB2312"/>
          <w:color w:val="auto"/>
          <w:sz w:val="32"/>
          <w:szCs w:val="32"/>
        </w:rPr>
        <w:t>按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有关</w:t>
      </w:r>
      <w:r>
        <w:rPr>
          <w:rFonts w:hint="eastAsia" w:ascii="仿宋_GB2312" w:hAnsi="仿宋_GB2312"/>
          <w:color w:val="auto"/>
          <w:sz w:val="32"/>
          <w:szCs w:val="32"/>
        </w:rPr>
        <w:t>规定开展项目竣工环境保护验收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，并报我局及区环境保护和城市管理局备案</w:t>
      </w:r>
      <w:r>
        <w:rPr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此复。</w:t>
      </w: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" w:hAnsi="ti"/>
          <w:snapToGrid w:val="0"/>
          <w:sz w:val="32"/>
          <w:szCs w:val="32"/>
        </w:rPr>
        <w:t>河源市</w:t>
      </w:r>
      <w:r>
        <w:rPr>
          <w:rFonts w:hint="eastAsia" w:ascii="ti" w:hAnsi="ti"/>
          <w:snapToGrid w:val="0"/>
          <w:sz w:val="32"/>
          <w:szCs w:val="32"/>
          <w:lang w:eastAsia="zh-CN"/>
        </w:rPr>
        <w:t>高新区</w:t>
      </w:r>
      <w:r>
        <w:rPr>
          <w:rFonts w:hint="eastAsia" w:ascii="ti" w:hAnsi="ti"/>
          <w:snapToGrid w:val="0"/>
          <w:sz w:val="32"/>
          <w:szCs w:val="32"/>
        </w:rPr>
        <w:t>管委会行政审批局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0" w:firstLineChars="195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20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日</w:t>
      </w:r>
    </w:p>
    <w:p>
      <w:pPr>
        <w:pStyle w:val="2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直接连接符 1" o:spid="_x0000_s2050" o:spt="20" style="position:absolute;left:0pt;margin-left:0.8pt;margin-top:0.5pt;height:0pt;width:453.1pt;z-index:251671552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送：市高新区管委会、市生态环境局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华文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</w:rPr>
        <w:t>：</w:t>
      </w:r>
      <w:r>
        <w:rPr>
          <w:rFonts w:hint="eastAsia" w:ascii="Times New Roman" w:hAnsi="Times New Roman" w:eastAsia="华文仿宋" w:cs="Times New Roman"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</w:rPr>
        <w:t>环境保护和城市管理局、综合执法局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_x0000_s2051" o:spid="_x0000_s2051" o:spt="20" style="position:absolute;left:0pt;margin-left:1.6pt;margin-top:30.1pt;height:0pt;width:453.1pt;z-index:251700224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_x0000_s2052" o:spid="_x0000_s2052" o:spt="20" style="position:absolute;left:0pt;margin-left:0pt;margin-top:3.1pt;height:0pt;width:453.1pt;z-index:251685888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</w:rPr>
        <w:t xml:space="preserve">区行政审批局    </w:t>
      </w:r>
      <w:r>
        <w:rPr>
          <w:rFonts w:hint="eastAsia" w:eastAsia="华文仿宋" w:cs="Times New Roman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</w:rPr>
        <w:t xml:space="preserve">       </w:t>
      </w:r>
      <w:r>
        <w:rPr>
          <w:rFonts w:hint="eastAsia" w:eastAsia="华文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20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日印发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tabs>
          <w:tab w:val="right" w:pos="8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（共印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份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，存档1份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）</w:t>
      </w:r>
    </w:p>
    <w:sectPr>
      <w:headerReference r:id="rId3" w:type="default"/>
      <w:footerReference r:id="rId4" w:type="default"/>
      <w:footerReference r:id="rId5" w:type="even"/>
      <w:pgSz w:w="11906" w:h="16838"/>
      <w:pgMar w:top="1587" w:right="1361" w:bottom="158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t xml:space="preserve">- </w:t>
    </w:r>
    <w:r>
      <w:rPr>
        <w:rFonts w:ascii="宋体" w:hAnsi="宋体"/>
        <w:sz w:val="32"/>
        <w:szCs w:val="32"/>
      </w:rPr>
      <w:fldChar w:fldCharType="begin"/>
    </w:r>
    <w:r>
      <w:rPr>
        <w:rFonts w:ascii="宋体" w:hAnsi="宋体"/>
        <w:sz w:val="32"/>
        <w:szCs w:val="32"/>
      </w:rPr>
      <w:instrText xml:space="preserve"> PAGE </w:instrText>
    </w:r>
    <w:r>
      <w:rPr>
        <w:rFonts w:ascii="宋体" w:hAnsi="宋体"/>
        <w:sz w:val="32"/>
        <w:szCs w:val="32"/>
      </w:rPr>
      <w:fldChar w:fldCharType="separate"/>
    </w:r>
    <w:r>
      <w:rPr>
        <w:rFonts w:ascii="宋体" w:hAnsi="宋体"/>
        <w:sz w:val="32"/>
        <w:szCs w:val="32"/>
      </w:rPr>
      <w:t>2</w:t>
    </w:r>
    <w:r>
      <w:rPr>
        <w:rFonts w:ascii="宋体" w:hAnsi="宋体"/>
        <w:sz w:val="32"/>
        <w:szCs w:val="32"/>
      </w:rPr>
      <w:fldChar w:fldCharType="end"/>
    </w:r>
    <w:r>
      <w:rPr>
        <w:rFonts w:ascii="宋体" w:hAnsi="宋体"/>
        <w:sz w:val="32"/>
        <w:szCs w:val="3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10E"/>
    <w:rsid w:val="0002771D"/>
    <w:rsid w:val="00204473"/>
    <w:rsid w:val="002B412E"/>
    <w:rsid w:val="003C2645"/>
    <w:rsid w:val="003F57AF"/>
    <w:rsid w:val="00470AC4"/>
    <w:rsid w:val="00472DAD"/>
    <w:rsid w:val="005D4A8A"/>
    <w:rsid w:val="00721E0F"/>
    <w:rsid w:val="008560BE"/>
    <w:rsid w:val="008B010E"/>
    <w:rsid w:val="009A0599"/>
    <w:rsid w:val="00BA08DA"/>
    <w:rsid w:val="00BC5687"/>
    <w:rsid w:val="00CE6876"/>
    <w:rsid w:val="00DE7F36"/>
    <w:rsid w:val="00DF5386"/>
    <w:rsid w:val="03B269EB"/>
    <w:rsid w:val="03CF7A1D"/>
    <w:rsid w:val="05EF2E79"/>
    <w:rsid w:val="06C95E74"/>
    <w:rsid w:val="07EF4AC0"/>
    <w:rsid w:val="086C13ED"/>
    <w:rsid w:val="0B017DFC"/>
    <w:rsid w:val="0C7348F6"/>
    <w:rsid w:val="103C0CE4"/>
    <w:rsid w:val="12731DDD"/>
    <w:rsid w:val="128D6F29"/>
    <w:rsid w:val="13AD6107"/>
    <w:rsid w:val="17332386"/>
    <w:rsid w:val="174B4C0D"/>
    <w:rsid w:val="17AF6709"/>
    <w:rsid w:val="17F40652"/>
    <w:rsid w:val="18372E0F"/>
    <w:rsid w:val="1A4D0B54"/>
    <w:rsid w:val="1AA043A0"/>
    <w:rsid w:val="1B902832"/>
    <w:rsid w:val="1C4A357A"/>
    <w:rsid w:val="2166526B"/>
    <w:rsid w:val="21667632"/>
    <w:rsid w:val="21CB6A60"/>
    <w:rsid w:val="221C08E4"/>
    <w:rsid w:val="22EF397C"/>
    <w:rsid w:val="239010D6"/>
    <w:rsid w:val="25B13B2D"/>
    <w:rsid w:val="260D3A4A"/>
    <w:rsid w:val="277B5530"/>
    <w:rsid w:val="27BC1E2E"/>
    <w:rsid w:val="2A304B67"/>
    <w:rsid w:val="2B867987"/>
    <w:rsid w:val="2C5100B5"/>
    <w:rsid w:val="2DBB221D"/>
    <w:rsid w:val="2E6260A8"/>
    <w:rsid w:val="2F6E616E"/>
    <w:rsid w:val="31252118"/>
    <w:rsid w:val="32CE304A"/>
    <w:rsid w:val="35C34C5F"/>
    <w:rsid w:val="38650D70"/>
    <w:rsid w:val="38902DBF"/>
    <w:rsid w:val="396B7181"/>
    <w:rsid w:val="3BDA194A"/>
    <w:rsid w:val="3DAE4230"/>
    <w:rsid w:val="3F3B789E"/>
    <w:rsid w:val="41A70ABB"/>
    <w:rsid w:val="422D71A3"/>
    <w:rsid w:val="4299329A"/>
    <w:rsid w:val="430A0DBD"/>
    <w:rsid w:val="433419DE"/>
    <w:rsid w:val="43AC3FCE"/>
    <w:rsid w:val="45475A3F"/>
    <w:rsid w:val="4624698A"/>
    <w:rsid w:val="47D171B3"/>
    <w:rsid w:val="4E5936D6"/>
    <w:rsid w:val="5439514D"/>
    <w:rsid w:val="56AD03A4"/>
    <w:rsid w:val="57970437"/>
    <w:rsid w:val="5C8D6DEC"/>
    <w:rsid w:val="5E1C2537"/>
    <w:rsid w:val="60167BD9"/>
    <w:rsid w:val="63FC38AF"/>
    <w:rsid w:val="649D6655"/>
    <w:rsid w:val="668A1FF6"/>
    <w:rsid w:val="68285294"/>
    <w:rsid w:val="692B2656"/>
    <w:rsid w:val="6EBB720B"/>
    <w:rsid w:val="71B3538B"/>
    <w:rsid w:val="7488389C"/>
    <w:rsid w:val="767370E1"/>
    <w:rsid w:val="795F57FF"/>
    <w:rsid w:val="798448BF"/>
    <w:rsid w:val="79CA6FF3"/>
    <w:rsid w:val="7C3D10E8"/>
    <w:rsid w:val="7DE035E1"/>
    <w:rsid w:val="7F9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 w:val="28"/>
      <w:szCs w:val="20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日期 Char"/>
    <w:basedOn w:val="7"/>
    <w:link w:val="3"/>
    <w:qFormat/>
    <w:uiPriority w:val="0"/>
    <w:rPr>
      <w:rFonts w:eastAsia="仿宋_GB2312"/>
      <w:kern w:val="2"/>
      <w:sz w:val="30"/>
      <w:szCs w:val="24"/>
    </w:rPr>
  </w:style>
  <w:style w:type="paragraph" w:customStyle="1" w:styleId="12">
    <w:name w:val="Table Paragraph"/>
    <w:basedOn w:val="1"/>
    <w:qFormat/>
    <w:uiPriority w:val="1"/>
    <w:pPr>
      <w:jc w:val="left"/>
    </w:pPr>
    <w:rPr>
      <w:rFonts w:ascii="Calibri" w:hAnsi="Calibri" w:eastAsia="宋体"/>
      <w:kern w:val="0"/>
      <w:sz w:val="22"/>
      <w:szCs w:val="22"/>
      <w:lang w:eastAsia="en-US"/>
    </w:rPr>
  </w:style>
  <w:style w:type="paragraph" w:customStyle="1" w:styleId="13">
    <w:name w:val="技术评估意见正文"/>
    <w:basedOn w:val="14"/>
    <w:link w:val="15"/>
    <w:qFormat/>
    <w:uiPriority w:val="0"/>
    <w:pPr>
      <w:jc w:val="both"/>
    </w:pPr>
    <w:rPr>
      <w:rFonts w:hAnsi="宋体" w:eastAsia="仿宋_GB2312"/>
      <w:color w:val="auto"/>
      <w:kern w:val="0"/>
      <w:sz w:val="32"/>
      <w:szCs w:val="32"/>
    </w:rPr>
  </w:style>
  <w:style w:type="paragraph" w:customStyle="1" w:styleId="14">
    <w:name w:val="评估意见正文文字"/>
    <w:basedOn w:val="1"/>
    <w:qFormat/>
    <w:uiPriority w:val="0"/>
    <w:pPr>
      <w:ind w:firstLine="640" w:firstLineChars="200"/>
      <w:jc w:val="left"/>
    </w:pPr>
    <w:rPr>
      <w:rFonts w:ascii="Times New Roman" w:hAnsi="Times New Roman" w:eastAsia="仿宋" w:cs="Times New Roman"/>
      <w:color w:val="000000"/>
      <w:sz w:val="28"/>
      <w:szCs w:val="28"/>
    </w:rPr>
  </w:style>
  <w:style w:type="character" w:customStyle="1" w:styleId="15">
    <w:name w:val="技术评估意见正文 Char"/>
    <w:link w:val="13"/>
    <w:qFormat/>
    <w:uiPriority w:val="0"/>
    <w:rPr>
      <w:rFonts w:hAnsi="宋体" w:eastAsia="仿宋_GB2312"/>
      <w:color w:val="auto"/>
      <w:kern w:val="0"/>
      <w:sz w:val="32"/>
      <w:szCs w:val="32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3</Pages>
  <Words>169</Words>
  <Characters>964</Characters>
  <Lines>8</Lines>
  <Paragraphs>2</Paragraphs>
  <TotalTime>2</TotalTime>
  <ScaleCrop>false</ScaleCrop>
  <LinksUpToDate>false</LinksUpToDate>
  <CharactersWithSpaces>1131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2018-11-22T09:07:00Z</dcterms:created>
  <dc:creator>李惠文</dc:creator>
  <cp:lastModifiedBy>曼曼</cp:lastModifiedBy>
  <cp:lastPrinted>2020-02-27T02:46:00Z</cp:lastPrinted>
  <dcterms:modified xsi:type="dcterms:W3CDTF">2020-03-02T07:17:51Z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