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河源市凤玻玻璃有限公司年产2000吨加工玻璃项目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河源市凤玻玻璃有限公司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单位报送的《河源市凤玻玻璃有限公司年产2000吨加工玻璃项目环境影响报告表》及报批函等材料收悉。经研究，批复如下：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一、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河源市凤玻玻璃有限公司年产2000吨加工玻璃项目（以下简称“项目”）位于河源市高新区兴业大道科技七路与八路之间，租赁河源中艺实业有限公司的1栋厂房作为经营场所，占地面积3500m</w:t>
      </w:r>
      <w:r>
        <w:rPr>
          <w:rFonts w:hint="eastAsia" w:ascii="Times New Roman" w:hAnsi="Times New Roman" w:eastAsia="方正仿宋简体" w:cs="Times New Roman"/>
          <w:spacing w:val="0"/>
          <w:sz w:val="32"/>
          <w:vertAlign w:val="super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，建筑面积3500m</w:t>
      </w:r>
      <w:r>
        <w:rPr>
          <w:rFonts w:hint="eastAsia" w:ascii="Times New Roman" w:hAnsi="Times New Roman" w:eastAsia="方正仿宋简体" w:cs="Times New Roman"/>
          <w:spacing w:val="0"/>
          <w:sz w:val="32"/>
          <w:vertAlign w:val="superscript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。项目总投资为100万元，年产2000吨加工玻璃，其中包括钢化玻璃800吨，中空玻璃800吨、夹层玻璃400吨。项目定员45人，均在厂内食宿，员工就餐依托河源中艺实业有限公司的食堂。全年生产运行300天，每天实行一班8小时工作制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广东环境保护工程职业学院技术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hint="eastAsia" w:ascii="仿宋_GB2312" w:hAnsi="仿宋_GB2312" w:eastAsia="仿宋_GB2312"/>
          <w:sz w:val="32"/>
          <w:szCs w:val="32"/>
        </w:rPr>
        <w:t>及符合总量控制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（一）做好水污染防治工作。严格执行“雨污分流”制度，雨水排入市政雨水管道；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生产废水包括磨边、钻孔时喷淋废水、清洗废水，通过与设备配套的收集沉淀</w:t>
      </w:r>
      <w:r>
        <w:rPr>
          <w:rFonts w:hint="eastAsia" w:eastAsia="方正仿宋简体" w:cs="Times New Roman"/>
          <w:spacing w:val="0"/>
          <w:sz w:val="32"/>
          <w:lang w:eastAsia="zh-CN"/>
        </w:rPr>
        <w:t>设施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沉淀后全部循环使用，不外排；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生活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污水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经预处理达广东省《水污染物排放限值》（DB44/26－2001）第二时段三级标准后纳入市政污水管网，进入</w:t>
      </w:r>
      <w:r>
        <w:rPr>
          <w:rFonts w:hint="eastAsia" w:eastAsia="方正仿宋简体" w:cs="Times New Roman"/>
          <w:spacing w:val="0"/>
          <w:sz w:val="32"/>
          <w:lang w:eastAsia="zh-CN"/>
        </w:rPr>
        <w:t>河源市市区城南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（二）做好大气污染防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生产过程产生的有机废气经收集处理达标后按规范高空排放，磨边、钻孔等采用湿法工艺，只有少量的粉尘产生，为无组织排放。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VOCs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排放执行广东省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《家具制造行业挥发性有机化合物排放限值》（DB44/814-2010）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第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Ⅱ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时段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排气筒排放限值和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无组织排放监控浓度限值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；颗粒物排放执行广东省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《大气污染物排放标准限值》（DB44/27-2001）第二时段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无组织排放监控浓度限值。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（三）做好噪声污染防治工作。合理布局机械设备，采取有效的隔声、消声等措施</w:t>
      </w:r>
      <w:r>
        <w:rPr>
          <w:rFonts w:hint="eastAsia" w:eastAsia="方正仿宋简体" w:cs="Times New Roman"/>
          <w:spacing w:val="0"/>
          <w:sz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（四）做好固体废物的分类收集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综合利用工作，防止造成二次污染。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危险废物应按规范要求处理处置，其在厂内暂存应符合《危险废物贮存污染控制标准》（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GB18579-2001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；一般固体废弃物应综合利用或妥善处置，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其在厂内暂存应符合《一般工业固体废物贮存、处置场污染控制标准》（GB18599-2001）；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生活垃圾及沉淀池沉渣统一收集后由环卫部门清运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三、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项目废气主要污染物VOCs排放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总量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控制在0.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140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吨/年（其中有组织</w:t>
      </w:r>
      <w:r>
        <w:rPr>
          <w:rFonts w:hint="eastAsia" w:ascii="ti" w:hAnsi="ti" w:eastAsia="仿宋"/>
        </w:rPr>
        <w:t>排放量为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0.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066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吨/年，无组织</w:t>
      </w:r>
      <w:r>
        <w:rPr>
          <w:rFonts w:hint="eastAsia" w:ascii="ti" w:hAnsi="ti" w:eastAsia="仿宋"/>
        </w:rPr>
        <w:t>排放量为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0.07</w:t>
      </w:r>
      <w:r>
        <w:rPr>
          <w:rFonts w:hint="eastAsia" w:eastAsia="方正仿宋简体" w:cs="Times New Roman"/>
          <w:spacing w:val="0"/>
          <w:sz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吨/年）。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四、做好环境事故风险防范工作，建立健全环境事故应急体系，落实有效的环境事故风险防范和应急措施，确保环境安全。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，并报我局及区环境保护和城市管理局备案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（此页无正文）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" w:hAnsi="ti"/>
          <w:snapToGrid w:val="0"/>
          <w:sz w:val="32"/>
          <w:szCs w:val="32"/>
        </w:rPr>
        <w:t>河源市</w:t>
      </w:r>
      <w:r>
        <w:rPr>
          <w:rFonts w:hint="eastAsia" w:ascii="ti" w:hAnsi="ti"/>
          <w:snapToGrid w:val="0"/>
          <w:sz w:val="32"/>
          <w:szCs w:val="32"/>
          <w:lang w:eastAsia="zh-CN"/>
        </w:rPr>
        <w:t>高新区</w:t>
      </w:r>
      <w:r>
        <w:rPr>
          <w:rFonts w:hint="eastAsia" w:ascii="ti" w:hAnsi="ti"/>
          <w:snapToGrid w:val="0"/>
          <w:sz w:val="32"/>
          <w:szCs w:val="32"/>
        </w:rPr>
        <w:t>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区行政审批局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3B269EB"/>
    <w:rsid w:val="03CF7A1D"/>
    <w:rsid w:val="05EF2E79"/>
    <w:rsid w:val="06C95E74"/>
    <w:rsid w:val="07EF4AC0"/>
    <w:rsid w:val="086C13ED"/>
    <w:rsid w:val="0B017DFC"/>
    <w:rsid w:val="0C7348F6"/>
    <w:rsid w:val="103C0CE4"/>
    <w:rsid w:val="12731DDD"/>
    <w:rsid w:val="128D6F29"/>
    <w:rsid w:val="13AD6107"/>
    <w:rsid w:val="17332386"/>
    <w:rsid w:val="174B4C0D"/>
    <w:rsid w:val="17AF6709"/>
    <w:rsid w:val="17F40652"/>
    <w:rsid w:val="18372E0F"/>
    <w:rsid w:val="1A4D0B54"/>
    <w:rsid w:val="1AA043A0"/>
    <w:rsid w:val="1B902832"/>
    <w:rsid w:val="1C4A357A"/>
    <w:rsid w:val="2166526B"/>
    <w:rsid w:val="21667632"/>
    <w:rsid w:val="21CB6A60"/>
    <w:rsid w:val="221C08E4"/>
    <w:rsid w:val="22EF397C"/>
    <w:rsid w:val="239010D6"/>
    <w:rsid w:val="25B13B2D"/>
    <w:rsid w:val="260D3A4A"/>
    <w:rsid w:val="277B5530"/>
    <w:rsid w:val="27BC1E2E"/>
    <w:rsid w:val="2A304B67"/>
    <w:rsid w:val="2B867987"/>
    <w:rsid w:val="2C5100B5"/>
    <w:rsid w:val="2DBB221D"/>
    <w:rsid w:val="2E6260A8"/>
    <w:rsid w:val="2F6E616E"/>
    <w:rsid w:val="31252118"/>
    <w:rsid w:val="32CE304A"/>
    <w:rsid w:val="35C34C5F"/>
    <w:rsid w:val="38650D70"/>
    <w:rsid w:val="38902DBF"/>
    <w:rsid w:val="396B7181"/>
    <w:rsid w:val="3BDA194A"/>
    <w:rsid w:val="3DAE4230"/>
    <w:rsid w:val="3F3B789E"/>
    <w:rsid w:val="41A70ABB"/>
    <w:rsid w:val="422D71A3"/>
    <w:rsid w:val="4299329A"/>
    <w:rsid w:val="430A0DBD"/>
    <w:rsid w:val="433419DE"/>
    <w:rsid w:val="43AC3FCE"/>
    <w:rsid w:val="45475A3F"/>
    <w:rsid w:val="4624698A"/>
    <w:rsid w:val="47D171B3"/>
    <w:rsid w:val="4E5936D6"/>
    <w:rsid w:val="5439514D"/>
    <w:rsid w:val="56AD03A4"/>
    <w:rsid w:val="57970437"/>
    <w:rsid w:val="5C8D6DEC"/>
    <w:rsid w:val="5E1C2537"/>
    <w:rsid w:val="60167BD9"/>
    <w:rsid w:val="63FC38AF"/>
    <w:rsid w:val="649D6655"/>
    <w:rsid w:val="668A1FF6"/>
    <w:rsid w:val="692B2656"/>
    <w:rsid w:val="6EBB720B"/>
    <w:rsid w:val="71B3538B"/>
    <w:rsid w:val="7488389C"/>
    <w:rsid w:val="767370E1"/>
    <w:rsid w:val="795F57FF"/>
    <w:rsid w:val="798448BF"/>
    <w:rsid w:val="79CA6FF3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2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3">
    <w:name w:val="技术评估意见正文"/>
    <w:basedOn w:val="14"/>
    <w:link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4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  <w:style w:type="character" w:customStyle="1" w:styleId="15">
    <w:name w:val="技术评估意见正文 Char"/>
    <w:link w:val="13"/>
    <w:qFormat/>
    <w:uiPriority w:val="0"/>
    <w:rPr>
      <w:rFonts w:hAnsi="宋体" w:eastAsia="仿宋_GB2312"/>
      <w:color w:val="auto"/>
      <w:kern w:val="0"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14</TotalTime>
  <ScaleCrop>false</ScaleCrop>
  <LinksUpToDate>false</LinksUpToDate>
  <CharactersWithSpaces>1131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曼曼</cp:lastModifiedBy>
  <cp:lastPrinted>2020-02-27T02:46:54Z</cp:lastPrinted>
  <dcterms:modified xsi:type="dcterms:W3CDTF">2020-02-27T02:50:12Z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