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6"/>
          <w:szCs w:val="56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spacing w:val="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60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河高环审〔20</w:t>
      </w:r>
      <w:r>
        <w:rPr>
          <w:rFonts w:hint="eastAsia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〕</w:t>
      </w:r>
      <w:r>
        <w:rPr>
          <w:rFonts w:hint="eastAsia" w:eastAsia="方正仿宋简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关于</w:t>
      </w:r>
      <w:r>
        <w:rPr>
          <w:rFonts w:hint="eastAsia" w:ascii="ti" w:hAnsi="ti" w:eastAsia="方正小标宋简体" w:cs="Times New Roman"/>
          <w:sz w:val="44"/>
          <w:szCs w:val="44"/>
        </w:rPr>
        <w:t>碧海科技（河源）有限公司年产5000台钣金产品、270000台风机过滤机组（</w:t>
      </w:r>
      <w:r>
        <w:rPr>
          <w:rFonts w:ascii="ti" w:hAnsi="ti" w:eastAsia="方正小标宋简体" w:cs="Times New Roman"/>
          <w:sz w:val="44"/>
          <w:szCs w:val="44"/>
        </w:rPr>
        <w:t>FFU</w:t>
      </w:r>
      <w:r>
        <w:rPr>
          <w:rFonts w:hint="eastAsia" w:ascii="ti" w:hAnsi="ti" w:eastAsia="方正小标宋简体" w:cs="Times New Roman"/>
          <w:sz w:val="44"/>
          <w:szCs w:val="44"/>
        </w:rPr>
        <w:t>）、200000台高效过滤器建设项目</w:t>
      </w: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环境影响报告表的批复</w:t>
      </w: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碧海科技（河源）有限公司：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贵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单位报送的《碧海科技（河源）有限公司年产5000台钣金产品、270000台风机过滤机组(FFU)、200000台高效过滤器建设项目环境影响报告表》及报批函等材料收悉。经研究，批复如下：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一、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碧海科技（河源）有限公司年产5000台钣金产品、270000台风机过滤机组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FFU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、200000台高效过滤器建设项目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（以下简称“项目”）位于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河源市高新区高新大道北边、新坡路西边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占地面积13813.96平方米，建筑面积37263.54平方米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。项目总投资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10000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万元，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主要建设内容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包括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厂房1、厂房2、研发厂房、宿舍楼各1栋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，年产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5000台钣金产品、270000台风机过滤机组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FFU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、200000台高效过滤器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。项目定员180人，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员工在厂内食宿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；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每天实行两班制，每班8小时，全年工作300天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根据该项目环境影响报告表评价结论和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广东环境保护工程职业学院技术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评估意见，在落实各项污染防治措施、确保污染物排放稳定达标</w:t>
      </w:r>
      <w:r>
        <w:rPr>
          <w:rFonts w:hint="eastAsia" w:ascii="仿宋_GB2312" w:hAnsi="仿宋_GB2312" w:eastAsia="仿宋_GB2312"/>
          <w:sz w:val="32"/>
          <w:szCs w:val="32"/>
        </w:rPr>
        <w:t>及符合总量控制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的前提下，项目按照报告表中所列的性质、规模、地点建设，从环境保护角度可行。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18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二、项目建设及运营期间，重点做好以下环保工作：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（一）做好水污染防治工作。严格执行“雨污分流”制度，雨水排入市政雨水管道；生活</w:t>
      </w: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污水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经预处理达广东省《水污染物排放限值》（DB44/26－2001）第二时段三级标准后纳入市政污水管网，进入</w:t>
      </w:r>
      <w:r>
        <w:rPr>
          <w:rFonts w:hint="eastAsia" w:eastAsia="方正仿宋简体" w:cs="Times New Roman"/>
          <w:spacing w:val="0"/>
          <w:sz w:val="32"/>
          <w:lang w:eastAsia="zh-CN"/>
        </w:rPr>
        <w:t>城市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污水处理厂集中处理。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（二）做好大气污染防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治工作。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打磨粉尘、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喷粉粉尘分别经收集处理达标</w:t>
      </w:r>
      <w:r>
        <w:rPr>
          <w:rFonts w:hint="eastAsia" w:ascii="Times New Roman" w:hAnsi="Times New Roman" w:eastAsia="方正仿宋简体" w:cs="Times New Roman"/>
          <w:spacing w:val="0"/>
          <w:sz w:val="32"/>
        </w:rPr>
        <w:t>后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统一按规范高空</w:t>
      </w:r>
      <w:r>
        <w:rPr>
          <w:rFonts w:hint="eastAsia" w:ascii="Times New Roman" w:hAnsi="Times New Roman" w:eastAsia="方正仿宋简体" w:cs="Times New Roman"/>
          <w:spacing w:val="0"/>
          <w:sz w:val="32"/>
        </w:rPr>
        <w:t>排放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少量切割工序金属粉尘和焊接烟尘以无组织形式排放，颗粒物排放执行广东省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《大气污染物排放标准限值》（DB44/27-2001）第二时段二级标准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和无组织排放监控浓度限值；</w:t>
      </w:r>
      <w:r>
        <w:rPr>
          <w:rFonts w:hint="eastAsia" w:eastAsia="方正仿宋简体" w:cs="Times New Roman"/>
          <w:spacing w:val="0"/>
          <w:sz w:val="32"/>
          <w:lang w:val="en-US" w:eastAsia="zh-CN"/>
        </w:rPr>
        <w:t>生产过程产生的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有机废气</w:t>
      </w:r>
      <w:r>
        <w:rPr>
          <w:rFonts w:hint="eastAsia" w:eastAsia="方正仿宋简体" w:cs="Times New Roman"/>
          <w:spacing w:val="0"/>
          <w:sz w:val="32"/>
          <w:lang w:val="en-US" w:eastAsia="zh-CN"/>
        </w:rPr>
        <w:t>分别经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收集处理达标</w:t>
      </w:r>
      <w:r>
        <w:rPr>
          <w:rFonts w:hint="eastAsia" w:ascii="Times New Roman" w:hAnsi="Times New Roman" w:eastAsia="方正仿宋简体" w:cs="Times New Roman"/>
          <w:spacing w:val="0"/>
          <w:sz w:val="32"/>
        </w:rPr>
        <w:t>后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统一按规范高空</w:t>
      </w:r>
      <w:r>
        <w:rPr>
          <w:rFonts w:hint="eastAsia" w:ascii="Times New Roman" w:hAnsi="Times New Roman" w:eastAsia="方正仿宋简体" w:cs="Times New Roman"/>
          <w:spacing w:val="0"/>
          <w:sz w:val="32"/>
        </w:rPr>
        <w:t>排放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VOCs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排放执行广东省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《家具制造行业挥发性有机化合物排放限值》（DB44/814-2010）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Ⅱ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时段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排气筒排放限值和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无组织排放监控浓度限值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；食堂油烟经油烟净化装置处理后引至所在建筑楼顶排放，油烟排放执行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《饮食业油烟排放标准（试行）》（GB18483-2001）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相关限值。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（三）做好噪声污染防治工作。合理布局机械设备，采取有效的隔声、消声等措施</w:t>
      </w:r>
      <w:r>
        <w:rPr>
          <w:rFonts w:hint="eastAsia" w:eastAsia="方正仿宋简体" w:cs="Times New Roman"/>
          <w:spacing w:val="0"/>
          <w:sz w:val="32"/>
          <w:lang w:eastAsia="zh-CN"/>
        </w:rPr>
        <w:t>降低噪声对周围环境的影响。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项目边界噪声排放执行《工业企业厂界环境噪声排放标准》（GB12348-2008）3类标准。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（四）做好固体废物的分类收集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综合利用工作，防止造成二次污染。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危险废物应按规范要求处理处置，其在厂内暂存应符合《危险废物贮存污染控制标准》（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GB18579-2001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）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；一般固体废弃物应综合利用或妥善处置，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其在厂内暂存应符合《一般工业固体废物贮存、处置场污染控制标准》（GB18599-2001）；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生活垃圾及沉淀池沉渣统一收集后由环卫部门清运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</w:rPr>
        <w:t>（五）做好施工期环境保护工作。按要求落实施工期废水、废气、扬尘、噪声、固体废物等污染防治措施。施工期噪声执行《建筑施工场界环境噪声排放标准》（GB12523-2011）。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三、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项目废气主要污染物VOCs排放</w:t>
      </w:r>
      <w:r>
        <w:rPr>
          <w:rFonts w:hint="eastAsia" w:eastAsia="方正仿宋简体" w:cs="Times New Roman"/>
          <w:spacing w:val="0"/>
          <w:sz w:val="32"/>
          <w:lang w:val="en-US" w:eastAsia="zh-CN"/>
        </w:rPr>
        <w:t>总量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控制在0.228吨/年（其中有组织</w:t>
      </w:r>
      <w:r>
        <w:rPr>
          <w:rFonts w:hint="eastAsia" w:eastAsia="方正仿宋简体" w:cs="Times New Roman"/>
          <w:spacing w:val="0"/>
          <w:sz w:val="32"/>
          <w:lang w:val="en-US" w:eastAsia="zh-CN"/>
        </w:rPr>
        <w:t>排放量为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0.158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吨/年，无组织</w:t>
      </w:r>
      <w:r>
        <w:rPr>
          <w:rFonts w:hint="eastAsia" w:eastAsia="方正仿宋简体" w:cs="Times New Roman"/>
          <w:spacing w:val="0"/>
          <w:sz w:val="32"/>
          <w:lang w:val="en-US" w:eastAsia="zh-CN"/>
        </w:rPr>
        <w:t>排放量为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0.070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吨/年），颗粒物排放</w:t>
      </w:r>
      <w:r>
        <w:rPr>
          <w:rFonts w:hint="eastAsia" w:eastAsia="方正仿宋简体" w:cs="Times New Roman"/>
          <w:spacing w:val="0"/>
          <w:sz w:val="32"/>
          <w:lang w:val="en-US" w:eastAsia="zh-CN"/>
        </w:rPr>
        <w:t>总量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控制在0.236吨/年以内。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lang w:eastAsia="zh-CN"/>
        </w:rPr>
        <w:t>四、做好环境事故风险防范工作，建立健全环境事故应急体系，落实有效的环境事故风险防范和应急措施，确保环境安全。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报告表经批准后，项目的性质、规模、地点、采用的生产工艺或者防治污染设施、防止生态破坏的措施发生重大变动的，建设单位应重新报批项目的环境影响评价文件。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、建设项目应严格执行配套建设的环境保护设施与主体工程同时设计、同时施工、同时投产使用的环境保护“三同时”制度。</w:t>
      </w:r>
    </w:p>
    <w:p>
      <w:pPr>
        <w:spacing w:line="600" w:lineRule="exact"/>
        <w:ind w:firstLine="640" w:firstLineChars="200"/>
        <w:rPr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七、</w:t>
      </w:r>
      <w:r>
        <w:rPr>
          <w:rFonts w:hint="eastAsia" w:ascii="仿宋_GB2312" w:hAnsi="仿宋_GB2312"/>
          <w:color w:val="auto"/>
          <w:sz w:val="32"/>
          <w:szCs w:val="32"/>
        </w:rPr>
        <w:t>项目建成后，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请贵单位</w:t>
      </w:r>
      <w:r>
        <w:rPr>
          <w:rFonts w:hint="eastAsia" w:ascii="仿宋_GB2312" w:hAnsi="仿宋_GB2312"/>
          <w:color w:val="auto"/>
          <w:sz w:val="32"/>
          <w:szCs w:val="32"/>
        </w:rPr>
        <w:t>按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有关</w:t>
      </w:r>
      <w:r>
        <w:rPr>
          <w:rFonts w:hint="eastAsia" w:ascii="仿宋_GB2312" w:hAnsi="仿宋_GB2312"/>
          <w:color w:val="auto"/>
          <w:sz w:val="32"/>
          <w:szCs w:val="32"/>
        </w:rPr>
        <w:t>规定开展项目竣工环境保护验收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，并报我局及区环境保护和城市管理局备案</w:t>
      </w:r>
      <w:r>
        <w:rPr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此复。</w:t>
      </w: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ti" w:hAnsi="ti"/>
          <w:snapToGrid w:val="0"/>
          <w:sz w:val="32"/>
          <w:szCs w:val="32"/>
        </w:rPr>
        <w:t>河源市</w:t>
      </w:r>
      <w:r>
        <w:rPr>
          <w:rFonts w:hint="eastAsia" w:ascii="ti" w:hAnsi="ti"/>
          <w:snapToGrid w:val="0"/>
          <w:color w:val="auto"/>
          <w:sz w:val="32"/>
          <w:szCs w:val="32"/>
          <w:lang w:eastAsia="zh-CN"/>
        </w:rPr>
        <w:t>高新区</w:t>
      </w:r>
      <w:r>
        <w:rPr>
          <w:rFonts w:hint="eastAsia" w:ascii="ti" w:hAnsi="ti"/>
          <w:snapToGrid w:val="0"/>
          <w:color w:val="auto"/>
          <w:sz w:val="32"/>
          <w:szCs w:val="32"/>
        </w:rPr>
        <w:t>管</w:t>
      </w:r>
      <w:bookmarkStart w:id="0" w:name="_GoBack"/>
      <w:bookmarkEnd w:id="0"/>
      <w:r>
        <w:rPr>
          <w:rFonts w:hint="eastAsia" w:ascii="ti" w:hAnsi="ti"/>
          <w:snapToGrid w:val="0"/>
          <w:color w:val="auto"/>
          <w:sz w:val="32"/>
          <w:szCs w:val="32"/>
        </w:rPr>
        <w:t>委会行政审批局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0" w:firstLineChars="195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20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直接连接符 1" o:spid="_x0000_s2050" o:spt="20" style="position:absolute;left:0pt;margin-left:0.8pt;margin-top:0.5pt;height:0pt;width:453.1pt;z-index:251671552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送：市高新区管委会、市生态环境局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>环境保护和城市管理局、综合执法局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1" o:spid="_x0000_s2051" o:spt="20" style="position:absolute;left:0pt;margin-left:1.6pt;margin-top:30.1pt;height:0pt;width:453.1pt;z-index:251700224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2" o:spid="_x0000_s2052" o:spt="20" style="position:absolute;left:0pt;margin-left:0pt;margin-top:3.1pt;height:0pt;width:453.1pt;z-index:251685888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 xml:space="preserve">区行政审批局    </w:t>
      </w:r>
      <w:r>
        <w:rPr>
          <w:rFonts w:hint="eastAsia" w:eastAsia="华文仿宋" w:cs="Times New Roman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 xml:space="preserve">       </w:t>
      </w:r>
      <w:r>
        <w:rPr>
          <w:rFonts w:hint="eastAsia" w:eastAsia="华文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20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日印发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（共印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份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，存档1份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361" w:bottom="158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- 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</w:rPr>
      <w:t>2</w:t>
    </w:r>
    <w:r>
      <w:rPr>
        <w:rFonts w:ascii="宋体" w:hAnsi="宋体"/>
        <w:sz w:val="32"/>
        <w:szCs w:val="32"/>
      </w:rPr>
      <w:fldChar w:fldCharType="end"/>
    </w:r>
    <w:r>
      <w:rPr>
        <w:rFonts w:ascii="宋体" w:hAnsi="宋体"/>
        <w:sz w:val="32"/>
        <w:szCs w:val="3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10E"/>
    <w:rsid w:val="0002771D"/>
    <w:rsid w:val="00204473"/>
    <w:rsid w:val="002B412E"/>
    <w:rsid w:val="003C2645"/>
    <w:rsid w:val="003F57AF"/>
    <w:rsid w:val="00470AC4"/>
    <w:rsid w:val="00472DAD"/>
    <w:rsid w:val="005D4A8A"/>
    <w:rsid w:val="00721E0F"/>
    <w:rsid w:val="008560BE"/>
    <w:rsid w:val="008B010E"/>
    <w:rsid w:val="009A0599"/>
    <w:rsid w:val="00BA08DA"/>
    <w:rsid w:val="00BC5687"/>
    <w:rsid w:val="00CE6876"/>
    <w:rsid w:val="00DE7F36"/>
    <w:rsid w:val="00DF5386"/>
    <w:rsid w:val="03B269EB"/>
    <w:rsid w:val="05EF2E79"/>
    <w:rsid w:val="06C95E74"/>
    <w:rsid w:val="07EF4AC0"/>
    <w:rsid w:val="086C13ED"/>
    <w:rsid w:val="0B017DFC"/>
    <w:rsid w:val="0C7348F6"/>
    <w:rsid w:val="103C0CE4"/>
    <w:rsid w:val="12731DDD"/>
    <w:rsid w:val="128D6F29"/>
    <w:rsid w:val="13AD6107"/>
    <w:rsid w:val="16594444"/>
    <w:rsid w:val="17332386"/>
    <w:rsid w:val="174B4C0D"/>
    <w:rsid w:val="17AF6709"/>
    <w:rsid w:val="17F40652"/>
    <w:rsid w:val="18372E0F"/>
    <w:rsid w:val="1AA043A0"/>
    <w:rsid w:val="1B902832"/>
    <w:rsid w:val="1C4A357A"/>
    <w:rsid w:val="2166526B"/>
    <w:rsid w:val="21667632"/>
    <w:rsid w:val="21CB6A60"/>
    <w:rsid w:val="221C08E4"/>
    <w:rsid w:val="22EF397C"/>
    <w:rsid w:val="239010D6"/>
    <w:rsid w:val="25B13B2D"/>
    <w:rsid w:val="260D3A4A"/>
    <w:rsid w:val="277B5530"/>
    <w:rsid w:val="27BC1E2E"/>
    <w:rsid w:val="2A304B67"/>
    <w:rsid w:val="2B867987"/>
    <w:rsid w:val="2C5100B5"/>
    <w:rsid w:val="2DBB221D"/>
    <w:rsid w:val="2E6260A8"/>
    <w:rsid w:val="2F6E616E"/>
    <w:rsid w:val="31252118"/>
    <w:rsid w:val="32CE304A"/>
    <w:rsid w:val="35C34C5F"/>
    <w:rsid w:val="38650D70"/>
    <w:rsid w:val="38822F16"/>
    <w:rsid w:val="38902DBF"/>
    <w:rsid w:val="396B7181"/>
    <w:rsid w:val="3BDA194A"/>
    <w:rsid w:val="3DAE4230"/>
    <w:rsid w:val="3F3B789E"/>
    <w:rsid w:val="41A70ABB"/>
    <w:rsid w:val="422D71A3"/>
    <w:rsid w:val="4299329A"/>
    <w:rsid w:val="430A0DBD"/>
    <w:rsid w:val="433419DE"/>
    <w:rsid w:val="43AC3FCE"/>
    <w:rsid w:val="45475A3F"/>
    <w:rsid w:val="47D171B3"/>
    <w:rsid w:val="4E5936D6"/>
    <w:rsid w:val="5439514D"/>
    <w:rsid w:val="56AD03A4"/>
    <w:rsid w:val="57970437"/>
    <w:rsid w:val="5C8D6DEC"/>
    <w:rsid w:val="5E1C2537"/>
    <w:rsid w:val="60167BD9"/>
    <w:rsid w:val="63FC38AF"/>
    <w:rsid w:val="649D6655"/>
    <w:rsid w:val="668A1FF6"/>
    <w:rsid w:val="692B2656"/>
    <w:rsid w:val="6EBB720B"/>
    <w:rsid w:val="7488389C"/>
    <w:rsid w:val="767370E1"/>
    <w:rsid w:val="795F57FF"/>
    <w:rsid w:val="798448BF"/>
    <w:rsid w:val="79CA6FF3"/>
    <w:rsid w:val="7C3D10E8"/>
    <w:rsid w:val="7DE035E1"/>
    <w:rsid w:val="7F9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28"/>
      <w:szCs w:val="20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日期 Char"/>
    <w:basedOn w:val="7"/>
    <w:link w:val="3"/>
    <w:qFormat/>
    <w:uiPriority w:val="0"/>
    <w:rPr>
      <w:rFonts w:eastAsia="仿宋_GB2312"/>
      <w:kern w:val="2"/>
      <w:sz w:val="30"/>
      <w:szCs w:val="24"/>
    </w:rPr>
  </w:style>
  <w:style w:type="paragraph" w:customStyle="1" w:styleId="12">
    <w:name w:val="Table Paragraph"/>
    <w:basedOn w:val="1"/>
    <w:qFormat/>
    <w:uiPriority w:val="1"/>
    <w:pPr>
      <w:jc w:val="left"/>
    </w:pPr>
    <w:rPr>
      <w:rFonts w:ascii="Calibri" w:hAnsi="Calibri" w:eastAsia="宋体"/>
      <w:kern w:val="0"/>
      <w:sz w:val="22"/>
      <w:szCs w:val="22"/>
      <w:lang w:eastAsia="en-US"/>
    </w:rPr>
  </w:style>
  <w:style w:type="paragraph" w:customStyle="1" w:styleId="13">
    <w:name w:val="技术评估意见正文"/>
    <w:basedOn w:val="14"/>
    <w:link w:val="15"/>
    <w:qFormat/>
    <w:uiPriority w:val="0"/>
    <w:pPr>
      <w:jc w:val="both"/>
    </w:pPr>
    <w:rPr>
      <w:rFonts w:hAnsi="宋体" w:eastAsia="仿宋_GB2312"/>
      <w:color w:val="auto"/>
      <w:kern w:val="0"/>
      <w:sz w:val="32"/>
      <w:szCs w:val="32"/>
    </w:rPr>
  </w:style>
  <w:style w:type="paragraph" w:customStyle="1" w:styleId="14">
    <w:name w:val="评估意见正文文字"/>
    <w:basedOn w:val="1"/>
    <w:qFormat/>
    <w:uiPriority w:val="0"/>
    <w:pPr>
      <w:ind w:firstLine="640" w:firstLineChars="200"/>
      <w:jc w:val="left"/>
    </w:pPr>
    <w:rPr>
      <w:rFonts w:ascii="Times New Roman" w:hAnsi="Times New Roman" w:eastAsia="仿宋" w:cs="Times New Roman"/>
      <w:color w:val="000000"/>
      <w:sz w:val="28"/>
      <w:szCs w:val="28"/>
    </w:rPr>
  </w:style>
  <w:style w:type="character" w:customStyle="1" w:styleId="15">
    <w:name w:val="技术评估意见正文 Char"/>
    <w:link w:val="13"/>
    <w:qFormat/>
    <w:uiPriority w:val="0"/>
    <w:rPr>
      <w:rFonts w:hAnsi="宋体" w:eastAsia="仿宋_GB2312"/>
      <w:color w:val="auto"/>
      <w:kern w:val="0"/>
      <w:sz w:val="32"/>
      <w:szCs w:val="3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3</Pages>
  <Words>169</Words>
  <Characters>964</Characters>
  <Lines>8</Lines>
  <Paragraphs>2</Paragraphs>
  <TotalTime>2</TotalTime>
  <ScaleCrop>false</ScaleCrop>
  <LinksUpToDate>false</LinksUpToDate>
  <CharactersWithSpaces>1131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2018-11-22T09:07:00Z</dcterms:created>
  <dc:creator>李惠文</dc:creator>
  <cp:lastModifiedBy>曼曼</cp:lastModifiedBy>
  <cp:lastPrinted>2019-08-29T08:15:00Z</cp:lastPrinted>
  <dcterms:modified xsi:type="dcterms:W3CDTF">2020-02-21T01:23:14Z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