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cs="Times New Roman" w:eastAsiaTheme="majorEastAsia"/>
          <w:b w:val="0"/>
          <w:bCs w:val="0"/>
          <w:color w:val="FF0000"/>
          <w:spacing w:val="0"/>
          <w:sz w:val="56"/>
          <w:szCs w:val="56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cs="Times New Roman" w:eastAsiaTheme="majorEastAsia"/>
          <w:b w:val="0"/>
          <w:bCs w:val="0"/>
          <w:color w:val="FF0000"/>
          <w:spacing w:val="0"/>
          <w:sz w:val="52"/>
          <w:szCs w:val="5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spacing w:val="0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  <w:t>河高环审〔20</w:t>
      </w:r>
      <w:r>
        <w:rPr>
          <w:rFonts w:hint="eastAsia" w:eastAsia="方正仿宋简体" w:cs="Times New Roman"/>
          <w:b w:val="0"/>
          <w:bCs w:val="0"/>
          <w:spacing w:val="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  <w:t>〕</w:t>
      </w:r>
      <w:r>
        <w:rPr>
          <w:rFonts w:hint="eastAsia" w:eastAsia="方正仿宋简体" w:cs="Times New Roman"/>
          <w:b w:val="0"/>
          <w:bCs w:val="0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pacing w:val="-6"/>
          <w:sz w:val="44"/>
          <w:szCs w:val="44"/>
          <w:lang w:eastAsia="zh-CN"/>
        </w:rPr>
      </w:pPr>
    </w:p>
    <w:p>
      <w:pPr>
        <w:snapToGrid w:val="0"/>
        <w:jc w:val="center"/>
        <w:rPr>
          <w:rFonts w:hint="eastAsia" w:ascii="Times New Roman" w:hAnsi="Times New Roman" w:eastAsia="方正小标宋简体" w:cs="Times New Roman"/>
          <w:b w:val="0"/>
          <w:bCs/>
          <w:spacing w:val="-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pacing w:val="-6"/>
          <w:sz w:val="44"/>
          <w:szCs w:val="44"/>
        </w:rPr>
        <w:t>关于</w:t>
      </w:r>
      <w:r>
        <w:rPr>
          <w:rFonts w:hint="eastAsia" w:ascii="Times New Roman" w:hAnsi="Times New Roman" w:eastAsia="方正小标宋简体" w:cs="Times New Roman"/>
          <w:b w:val="0"/>
          <w:bCs/>
          <w:spacing w:val="-6"/>
          <w:sz w:val="44"/>
          <w:szCs w:val="44"/>
        </w:rPr>
        <w:t>今麦郎饮品河源</w:t>
      </w:r>
      <w:r>
        <w:rPr>
          <w:rFonts w:hint="eastAsia" w:ascii="Times New Roman" w:hAnsi="Times New Roman" w:eastAsia="方正小标宋简体" w:cs="Times New Roman"/>
          <w:b w:val="0"/>
          <w:bCs/>
          <w:spacing w:val="-6"/>
          <w:sz w:val="44"/>
          <w:szCs w:val="44"/>
          <w:lang w:eastAsia="zh-CN"/>
        </w:rPr>
        <w:t>生产基地</w:t>
      </w:r>
      <w:r>
        <w:rPr>
          <w:rFonts w:hint="eastAsia" w:ascii="Times New Roman" w:hAnsi="Times New Roman" w:eastAsia="方正小标宋简体" w:cs="Times New Roman"/>
          <w:b w:val="0"/>
          <w:bCs/>
          <w:spacing w:val="-6"/>
          <w:sz w:val="44"/>
          <w:szCs w:val="44"/>
        </w:rPr>
        <w:t>环境影响报告表</w:t>
      </w: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b w:val="0"/>
          <w:bCs/>
          <w:spacing w:val="-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pacing w:val="-6"/>
          <w:sz w:val="44"/>
          <w:szCs w:val="44"/>
        </w:rPr>
        <w:t>的批复</w:t>
      </w:r>
    </w:p>
    <w:p>
      <w:pPr>
        <w:rPr>
          <w:rFonts w:hint="default" w:ascii="Times New Roman" w:hAnsi="Times New Roman" w:eastAsia="华文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今麦郎饮品（河源）有限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公司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贵单位报送的《今麦郎饮品河源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生产基地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环境影响报告表》及报批函等材料收悉。经研究，批复如下：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eastAsia="方正仿宋简体" w:cs="Times New Roman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lang w:eastAsia="zh-CN"/>
        </w:rPr>
        <w:t>一、今麦郎饮品河源</w:t>
      </w:r>
      <w:r>
        <w:rPr>
          <w:rFonts w:hint="eastAsia" w:ascii="Times New Roman" w:hAnsi="Times New Roman" w:eastAsia="方正仿宋简体" w:cs="Times New Roman"/>
          <w:color w:val="auto"/>
          <w:spacing w:val="0"/>
          <w:sz w:val="32"/>
          <w:szCs w:val="32"/>
          <w:lang w:eastAsia="zh-CN"/>
        </w:rPr>
        <w:t>生产基地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lang w:eastAsia="zh-CN"/>
        </w:rPr>
        <w:t>位于河源市高新区兴工南路以东、滨江南路以南</w:t>
      </w:r>
      <w:r>
        <w:rPr>
          <w:rFonts w:hint="eastAsia" w:eastAsia="方正仿宋简体" w:cs="Times New Roman"/>
          <w:color w:val="auto"/>
          <w:spacing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简体" w:cs="Times New Roman"/>
          <w:color w:val="auto"/>
          <w:spacing w:val="0"/>
          <w:sz w:val="32"/>
          <w:szCs w:val="32"/>
          <w:lang w:val="en-US" w:eastAsia="zh-CN"/>
        </w:rPr>
        <w:t>企业已于2020年9月取得《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lang w:eastAsia="zh-CN"/>
        </w:rPr>
        <w:t>今麦郎饮品（河源）有限公司生产软化纯净水、凉白开、饮料建设项目环境影响报告表</w:t>
      </w:r>
      <w:r>
        <w:rPr>
          <w:rFonts w:hint="eastAsia" w:ascii="Times New Roman" w:hAnsi="Times New Roman" w:eastAsia="方正仿宋简体" w:cs="Times New Roman"/>
          <w:color w:val="auto"/>
          <w:spacing w:val="0"/>
          <w:sz w:val="32"/>
          <w:szCs w:val="32"/>
          <w:lang w:val="en-US" w:eastAsia="zh-CN"/>
        </w:rPr>
        <w:t>》的环评批复（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lang w:val="en-US" w:eastAsia="zh-CN"/>
        </w:rPr>
        <w:t>河高环审〔20</w:t>
      </w:r>
      <w:r>
        <w:rPr>
          <w:rFonts w:hint="eastAsia" w:ascii="Times New Roman" w:hAnsi="Times New Roman" w:eastAsia="方正仿宋简体" w:cs="Times New Roman"/>
          <w:color w:val="auto"/>
          <w:spacing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方正仿宋简体" w:cs="Times New Roman"/>
          <w:color w:val="auto"/>
          <w:spacing w:val="0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lang w:val="en-US" w:eastAsia="zh-CN"/>
        </w:rPr>
        <w:t>号</w:t>
      </w:r>
      <w:r>
        <w:rPr>
          <w:rFonts w:hint="eastAsia" w:ascii="Times New Roman" w:hAnsi="Times New Roman" w:eastAsia="方正仿宋简体" w:cs="Times New Roman"/>
          <w:color w:val="auto"/>
          <w:spacing w:val="0"/>
          <w:sz w:val="32"/>
          <w:szCs w:val="32"/>
          <w:lang w:val="en-US" w:eastAsia="zh-CN"/>
        </w:rPr>
        <w:t>），在建设过程中企业投资</w:t>
      </w:r>
      <w:r>
        <w:rPr>
          <w:rFonts w:hint="eastAsia" w:eastAsia="方正仿宋简体" w:cs="Times New Roman"/>
          <w:color w:val="auto"/>
          <w:spacing w:val="0"/>
          <w:sz w:val="32"/>
          <w:szCs w:val="32"/>
          <w:lang w:val="en-US" w:eastAsia="zh-CN"/>
        </w:rPr>
        <w:t>额</w:t>
      </w:r>
      <w:r>
        <w:rPr>
          <w:rFonts w:hint="eastAsia" w:ascii="Times New Roman" w:hAnsi="Times New Roman" w:eastAsia="方正仿宋简体" w:cs="Times New Roman"/>
          <w:color w:val="auto"/>
          <w:spacing w:val="0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简体" w:cs="Times New Roman"/>
          <w:color w:val="auto"/>
          <w:spacing w:val="0"/>
          <w:sz w:val="32"/>
          <w:szCs w:val="32"/>
          <w:lang w:eastAsia="zh-CN"/>
        </w:rPr>
        <w:t>建筑面积和生产规模等</w:t>
      </w:r>
      <w:r>
        <w:rPr>
          <w:rFonts w:hint="eastAsia" w:ascii="Times New Roman" w:hAnsi="Times New Roman" w:eastAsia="方正仿宋简体" w:cs="Times New Roman"/>
          <w:color w:val="auto"/>
          <w:spacing w:val="0"/>
          <w:sz w:val="32"/>
          <w:szCs w:val="32"/>
          <w:lang w:val="en-US" w:eastAsia="zh-CN"/>
        </w:rPr>
        <w:t>内容与原环评相比均发生了重大变动，故</w:t>
      </w:r>
      <w:r>
        <w:rPr>
          <w:rFonts w:hint="eastAsia" w:eastAsia="方正仿宋简体" w:cs="Times New Roman"/>
          <w:color w:val="auto"/>
          <w:spacing w:val="0"/>
          <w:sz w:val="32"/>
          <w:szCs w:val="32"/>
          <w:lang w:val="en-US" w:eastAsia="zh-CN"/>
        </w:rPr>
        <w:t>对该建设</w:t>
      </w:r>
      <w:r>
        <w:rPr>
          <w:rFonts w:hint="eastAsia" w:ascii="Times New Roman" w:hAnsi="Times New Roman" w:eastAsia="方正仿宋简体" w:cs="Times New Roman"/>
          <w:color w:val="auto"/>
          <w:spacing w:val="0"/>
          <w:sz w:val="32"/>
          <w:szCs w:val="32"/>
          <w:lang w:val="en-US" w:eastAsia="zh-CN"/>
        </w:rPr>
        <w:t>项目</w:t>
      </w:r>
      <w:r>
        <w:rPr>
          <w:rFonts w:hint="eastAsia" w:eastAsia="方正仿宋简体" w:cs="Times New Roman"/>
          <w:color w:val="auto"/>
          <w:spacing w:val="0"/>
          <w:sz w:val="32"/>
          <w:szCs w:val="32"/>
          <w:lang w:val="en-US" w:eastAsia="zh-CN"/>
        </w:rPr>
        <w:t>进行</w:t>
      </w:r>
      <w:r>
        <w:rPr>
          <w:rFonts w:hint="eastAsia" w:ascii="Times New Roman" w:hAnsi="Times New Roman" w:eastAsia="方正仿宋简体" w:cs="Times New Roman"/>
          <w:color w:val="auto"/>
          <w:spacing w:val="0"/>
          <w:sz w:val="32"/>
          <w:szCs w:val="32"/>
          <w:lang w:val="en-US" w:eastAsia="zh-CN"/>
        </w:rPr>
        <w:t>重新报批。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项目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规划用地面积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10842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平方米，规划建筑面积为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67406.30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平方米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，规划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总投资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71086.85万元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，建设3条生产线，包括1条软化纯净水生产线、1条凉白开生产线、1条无菌线饮料生产线，年产软化纯净水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4115.47万包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（折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54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万吨）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，凉白开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1869.46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万箱（折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万吨）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茶、果汁饮料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2361.91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万箱（折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17.7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万吨）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。项目规划劳动定员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196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人，食宿依托今麦郎面品（河源）有限公司，年工作300天，每天两班制，每班12小时。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根据该项目环境影响报告表评价结论和</w:t>
      </w:r>
      <w:r>
        <w:rPr>
          <w:rFonts w:ascii="ti" w:hAnsi="Times New Roman" w:eastAsia="仿宋" w:cs="Times New Roman"/>
          <w:sz w:val="32"/>
          <w:szCs w:val="32"/>
        </w:rPr>
        <w:t>广东省环境保护职业</w:t>
      </w:r>
      <w:r>
        <w:rPr>
          <w:rFonts w:hint="eastAsia" w:ascii="ti" w:hAnsi="Times New Roman" w:eastAsia="仿宋" w:cs="Times New Roman"/>
          <w:sz w:val="32"/>
          <w:szCs w:val="32"/>
        </w:rPr>
        <w:t>技术学校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技术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评估意见，在落实各项污染防治措施、确保污染物排放稳定达标及符合总量控制的前提下，项目按照报告表中所列的性质、规模、地点建设，从环境保护角度可行。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18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二、项目建设及运营期间，重点做好以下环保工作：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（一）做好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水污染防治工作。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严格执行“雨污分流”制度，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雨水排入市政雨水管道；</w:t>
      </w:r>
      <w:r>
        <w:rPr>
          <w:rFonts w:hint="eastAsia" w:ascii="ti" w:hAnsi="ti" w:eastAsia="仿宋"/>
        </w:rPr>
        <w:t>制纯水</w:t>
      </w:r>
      <w:r>
        <w:rPr>
          <w:rFonts w:hint="eastAsia" w:ascii="ti" w:hAnsi="ti" w:eastAsia="仿宋"/>
          <w:lang w:eastAsia="zh-CN"/>
        </w:rPr>
        <w:t>过程</w:t>
      </w:r>
      <w:r>
        <w:rPr>
          <w:rFonts w:hint="eastAsia" w:ascii="ti" w:hAnsi="ti" w:eastAsia="仿宋"/>
        </w:rPr>
        <w:t>产生的</w:t>
      </w:r>
      <w:r>
        <w:rPr>
          <w:rFonts w:hint="eastAsia" w:ascii="ti" w:hAnsi="ti" w:eastAsia="仿宋"/>
          <w:lang w:eastAsia="zh-CN"/>
        </w:rPr>
        <w:t>浓水</w:t>
      </w:r>
      <w:r>
        <w:rPr>
          <w:rFonts w:hint="eastAsia" w:ascii="ti" w:hAnsi="ti" w:eastAsia="仿宋"/>
        </w:rPr>
        <w:t>作为清净下水排入市政雨水管网；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生产废水经自建污水处理站处理达到广东省《水污染物排放限值》（DB44/26-2001）第二时段一级标准后通过市政污水管网排入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园区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污水处理厂进一步处理；生活污水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经三级化粪池预处理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达到广东省《水污染物排放限值》（DB44/26-2001）第二时段三级标准后排入市政污水管网，最终进入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园区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污水处理厂集中处理</w:t>
      </w:r>
      <w:r>
        <w:rPr>
          <w:rFonts w:hint="default" w:ascii="Times New Roman" w:hAnsi="Times New Roman" w:eastAsia="方正仿宋简体" w:cs="Times New Roman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（二）做好大气污染防治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lang w:eastAsia="zh-CN"/>
        </w:rPr>
        <w:t>工作。</w:t>
      </w:r>
      <w:r>
        <w:rPr>
          <w:rFonts w:hint="eastAsia" w:eastAsia="方正仿宋简体" w:cs="Times New Roman"/>
          <w:color w:val="auto"/>
          <w:spacing w:val="0"/>
          <w:sz w:val="32"/>
          <w:szCs w:val="32"/>
          <w:lang w:eastAsia="zh-CN"/>
        </w:rPr>
        <w:t>注塑过程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lang w:eastAsia="zh-CN"/>
        </w:rPr>
        <w:t>产生的有机废气经</w:t>
      </w:r>
      <w:r>
        <w:rPr>
          <w:rFonts w:hint="eastAsia" w:eastAsia="方正仿宋简体" w:cs="Times New Roman"/>
          <w:color w:val="auto"/>
          <w:spacing w:val="0"/>
          <w:sz w:val="32"/>
          <w:szCs w:val="32"/>
          <w:lang w:eastAsia="zh-CN"/>
        </w:rPr>
        <w:t>收集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lang w:eastAsia="zh-CN"/>
        </w:rPr>
        <w:t>处理</w:t>
      </w:r>
      <w:r>
        <w:rPr>
          <w:rFonts w:hint="eastAsia" w:eastAsia="方正仿宋简体" w:cs="Times New Roman"/>
          <w:color w:val="auto"/>
          <w:spacing w:val="0"/>
          <w:sz w:val="32"/>
          <w:szCs w:val="32"/>
          <w:lang w:eastAsia="zh-CN"/>
        </w:rPr>
        <w:t>达标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lang w:eastAsia="zh-CN"/>
        </w:rPr>
        <w:t>后按规划高空排放；</w:t>
      </w:r>
      <w:r>
        <w:rPr>
          <w:rFonts w:hint="eastAsia" w:ascii="Times New Roman" w:hAnsi="Times New Roman" w:eastAsia="方正仿宋简体" w:cs="Times New Roman"/>
          <w:color w:val="auto"/>
          <w:spacing w:val="0"/>
          <w:sz w:val="32"/>
          <w:szCs w:val="32"/>
          <w:lang w:eastAsia="zh-CN"/>
        </w:rPr>
        <w:t>喷码废气及酒精消毒废气通过加强车间通风以无组织形式排放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lang w:eastAsia="zh-CN"/>
        </w:rPr>
        <w:t>。VOC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vertAlign w:val="subscript"/>
          <w:lang w:eastAsia="zh-CN"/>
        </w:rPr>
        <w:t>s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lang w:eastAsia="zh-CN"/>
        </w:rPr>
        <w:t>排放</w:t>
      </w:r>
      <w:r>
        <w:rPr>
          <w:rFonts w:hint="eastAsia" w:eastAsia="方正仿宋简体" w:cs="Times New Roman"/>
          <w:color w:val="auto"/>
          <w:spacing w:val="0"/>
          <w:sz w:val="32"/>
          <w:szCs w:val="32"/>
          <w:lang w:eastAsia="zh-CN"/>
        </w:rPr>
        <w:t>参照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lang w:eastAsia="zh-CN"/>
        </w:rPr>
        <w:t>执行广东省《家具制造行业挥发性有机化合物排放标准》（DB44/814-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2010）第Ⅱ时段排放限值和无组织排放监控点浓度限值，非甲烷总烃排放执行《合成树脂工业污染物排放标准》（GB31572-2015）表4大气污染物排放限值及表9企业边界大气污染物浓度限值。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（三）做好噪声污染防治工作。合理布局机械设备，采取有效的隔声、消声等措施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降低噪声对周围环境的影响。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项目边界噪声排放执行《工业企业厂界环境噪声排放标准》（GB12348-2008）3类标准。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kern w:val="2"/>
          <w:sz w:val="32"/>
          <w:szCs w:val="20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（四）</w:t>
      </w:r>
      <w:r>
        <w:rPr>
          <w:rFonts w:eastAsia="方正仿宋简体"/>
          <w:sz w:val="32"/>
          <w:szCs w:val="32"/>
        </w:rPr>
        <w:t>做好固体废物的分类收集</w:t>
      </w:r>
      <w:r>
        <w:rPr>
          <w:rFonts w:hint="eastAsia" w:eastAsia="方正仿宋简体"/>
          <w:sz w:val="32"/>
          <w:szCs w:val="32"/>
        </w:rPr>
        <w:t>和</w:t>
      </w:r>
      <w:r>
        <w:rPr>
          <w:rFonts w:eastAsia="方正仿宋简体"/>
          <w:sz w:val="32"/>
          <w:szCs w:val="32"/>
        </w:rPr>
        <w:t>综合利用工作，防止造成二次污染。</w:t>
      </w:r>
      <w:r>
        <w:rPr>
          <w:rFonts w:hint="eastAsia" w:eastAsia="方正仿宋简体"/>
          <w:sz w:val="32"/>
          <w:szCs w:val="32"/>
          <w:lang w:eastAsia="zh-CN"/>
        </w:rPr>
        <w:t>定期更换活性炭，</w:t>
      </w:r>
      <w:r>
        <w:rPr>
          <w:rFonts w:hint="eastAsia" w:eastAsia="方正仿宋简体"/>
          <w:sz w:val="32"/>
          <w:szCs w:val="32"/>
        </w:rPr>
        <w:t>危险废物应按规范要求处理处置，其在厂内暂存应符合《危险废物贮存污染控制标准》（GB18579-2001）；一般固体废弃物应综合利用或妥善处置，</w:t>
      </w:r>
      <w:r>
        <w:rPr>
          <w:rFonts w:eastAsia="方正仿宋简体"/>
          <w:sz w:val="32"/>
          <w:szCs w:val="32"/>
        </w:rPr>
        <w:t>其在厂内暂存应符合《一般工业固体废物贮存、处置场污染控制标准》（GB18599-2001）；生活垃圾统一收集后交由环卫部门清运</w:t>
      </w:r>
      <w:r>
        <w:rPr>
          <w:rFonts w:hint="default" w:ascii="Times New Roman" w:hAnsi="Times New Roman" w:eastAsia="方正仿宋简体" w:cs="Times New Roman"/>
          <w:spacing w:val="0"/>
          <w:kern w:val="2"/>
          <w:sz w:val="32"/>
          <w:szCs w:val="20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</w:rPr>
        <w:t>（五）做好施工期环境保护工作。按要求落实施工期废水、废气、扬尘、噪声、固体废物等污染防治措施。施工期噪声执行《建筑施工场界环境噪声排放标准》（GB12523-2011）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lang w:val="en-US" w:eastAsia="zh-CN"/>
        </w:rPr>
        <w:t>三、项目</w:t>
      </w:r>
      <w:r>
        <w:rPr>
          <w:rFonts w:hint="eastAsia" w:eastAsia="方正仿宋简体" w:cs="Times New Roman"/>
          <w:color w:val="auto"/>
          <w:spacing w:val="0"/>
          <w:sz w:val="32"/>
          <w:szCs w:val="32"/>
          <w:lang w:val="en-US" w:eastAsia="zh-CN"/>
        </w:rPr>
        <w:t>重新报批后，污染物总量控制指标调整为：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lang w:val="en-US" w:eastAsia="zh-CN"/>
        </w:rPr>
        <w:t>废气污染物</w:t>
      </w:r>
      <w:r>
        <w:rPr>
          <w:rFonts w:hint="eastAsia" w:eastAsia="方正仿宋简体"/>
          <w:color w:val="auto"/>
          <w:sz w:val="32"/>
          <w:szCs w:val="32"/>
        </w:rPr>
        <w:t>VOC</w:t>
      </w:r>
      <w:r>
        <w:rPr>
          <w:rFonts w:hint="eastAsia" w:eastAsia="方正仿宋简体"/>
          <w:color w:val="auto"/>
          <w:sz w:val="32"/>
          <w:szCs w:val="32"/>
          <w:vertAlign w:val="subscript"/>
        </w:rPr>
        <w:t>s</w:t>
      </w:r>
      <w:r>
        <w:rPr>
          <w:rFonts w:hint="eastAsia" w:eastAsia="方正仿宋简体"/>
          <w:color w:val="auto"/>
          <w:sz w:val="32"/>
          <w:szCs w:val="32"/>
        </w:rPr>
        <w:t>排放量控制在0.</w:t>
      </w:r>
      <w:r>
        <w:rPr>
          <w:rFonts w:hint="eastAsia" w:eastAsia="方正仿宋简体"/>
          <w:color w:val="auto"/>
          <w:sz w:val="32"/>
          <w:szCs w:val="32"/>
          <w:lang w:val="en-US" w:eastAsia="zh-CN"/>
        </w:rPr>
        <w:t>878</w:t>
      </w:r>
      <w:r>
        <w:rPr>
          <w:rFonts w:hint="eastAsia" w:eastAsia="方正仿宋简体"/>
          <w:color w:val="auto"/>
          <w:sz w:val="32"/>
          <w:szCs w:val="32"/>
        </w:rPr>
        <w:t>吨/年以内（其中有组织排放量为0.</w:t>
      </w:r>
      <w:r>
        <w:rPr>
          <w:rFonts w:hint="eastAsia" w:eastAsia="方正仿宋简体"/>
          <w:color w:val="auto"/>
          <w:sz w:val="32"/>
          <w:szCs w:val="32"/>
          <w:lang w:val="en-US" w:eastAsia="zh-CN"/>
        </w:rPr>
        <w:t>519</w:t>
      </w:r>
      <w:r>
        <w:rPr>
          <w:rFonts w:hint="eastAsia" w:eastAsia="方正仿宋简体"/>
          <w:color w:val="auto"/>
          <w:sz w:val="32"/>
          <w:szCs w:val="32"/>
        </w:rPr>
        <w:t>吨/年，无组织排放量为0.</w:t>
      </w:r>
      <w:r>
        <w:rPr>
          <w:rFonts w:hint="eastAsia" w:eastAsia="方正仿宋简体"/>
          <w:color w:val="auto"/>
          <w:sz w:val="32"/>
          <w:szCs w:val="32"/>
          <w:lang w:val="en-US" w:eastAsia="zh-CN"/>
        </w:rPr>
        <w:t>359</w:t>
      </w:r>
      <w:r>
        <w:rPr>
          <w:rFonts w:hint="eastAsia" w:eastAsia="方正仿宋简体"/>
          <w:color w:val="auto"/>
          <w:sz w:val="32"/>
          <w:szCs w:val="32"/>
        </w:rPr>
        <w:t>吨/年）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四、</w:t>
      </w:r>
      <w:r>
        <w:rPr>
          <w:rFonts w:hint="eastAsia" w:ascii="Times New Roman" w:hAnsi="Times New Roman" w:eastAsia="方正仿宋简体"/>
          <w:sz w:val="32"/>
          <w:szCs w:val="32"/>
        </w:rPr>
        <w:t>做好环境事故风险防范工作。制定突发环境事件应急预案</w:t>
      </w:r>
      <w:r>
        <w:rPr>
          <w:rFonts w:hint="eastAsia" w:eastAsia="方正仿宋简体"/>
          <w:sz w:val="32"/>
          <w:szCs w:val="32"/>
        </w:rPr>
        <w:t>，落实有效的环境事故风险防范和应急措施，确保环境安全。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五、报告表经批准后，项目的性质、规模、地点、采用的生产工艺或者防治污染设施、防止生态破坏的措施发生重大变动的，建设单位应重新报批项目的环境影响评价文件。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六、建设项目应严格执行配套建设的环境保护设施与主体工程同时设计、同时施工、同时投产使用的环境保护“三同时”制度。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七、项目建成后，请贵单位按有关规定开展项目竣工环境保护验收，并报我局备案。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此复。</w:t>
      </w:r>
    </w:p>
    <w:p>
      <w:pPr>
        <w:pStyle w:val="3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3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Times New Roman" w:hAnsi="Times New Roman" w:eastAsia="方正仿宋简体" w:cs="Times New Roman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spacing w:val="0"/>
          <w:kern w:val="2"/>
          <w:sz w:val="32"/>
          <w:szCs w:val="32"/>
          <w:lang w:val="en-US" w:eastAsia="zh-CN" w:bidi="ar-SA"/>
        </w:rPr>
        <w:t>河源市高新区管委会行政审批局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0" w:firstLineChars="195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20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月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日</w:t>
      </w:r>
    </w:p>
    <w:p>
      <w:pPr>
        <w:pStyle w:val="3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3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3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华文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32"/>
        </w:rPr>
        <w:pict>
          <v:line id="直接连接符 1" o:spid="_x0000_s2050" o:spt="20" style="position:absolute;left:0pt;margin-left:0.8pt;margin-top:0.5pt;height:0pt;width:453.1pt;z-index:251671552;mso-width-relative:page;mso-height-relative:page;" filled="f" stroked="t" coordsize="21600,21600" o:gfxdata="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fXReNAAAAAFAQAADwAAAAAA&#10;AAABACAAAAAiAAAAZHJzL2Rvd25yZXYueG1sUEsBAhQAFAAAAAgAh07iQMQ6/djiAQAAkQMAAA4A&#10;AAAAAAAAAQAgAAAAHwEAAGRycy9lMm9Eb2MueG1sUEsFBgAAAAAGAAYAWQEAAHMFAAAAAA==&#10;">
            <v:path arrowok="t"/>
            <v:fill on="f" focussize="0,0"/>
            <v:stroke weight="1.5pt" color="#000000"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  <w:lang w:eastAsia="zh-CN"/>
        </w:rPr>
        <w:t>送：市高新区管委会、市生态环境局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华文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华文仿宋" w:cs="Times New Roman"/>
          <w:color w:val="auto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</w:rPr>
        <w:t>：环境保护和城市管理局、综合执法局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32"/>
        </w:rPr>
        <w:pict>
          <v:line id="_x0000_s2051" o:spid="_x0000_s2051" o:spt="20" style="position:absolute;left:0pt;margin-left:1.6pt;margin-top:30.1pt;height:0pt;width:453.1pt;z-index:251700224;mso-width-relative:page;mso-height-relative:page;" filled="f" stroked="t" coordsize="21600,21600" o:gfxdata="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fXReNAAAAAFAQAADwAAAAAA&#10;AAABACAAAAAiAAAAZHJzL2Rvd25yZXYueG1sUEsBAhQAFAAAAAgAh07iQMQ6/djiAQAAkQMAAA4A&#10;AAAAAAAAAQAgAAAAHwEAAGRycy9lMm9Eb2MueG1sUEsFBgAAAAAGAAYAWQEAAHMFAAAAAA==&#10;">
            <v:path arrowok="t"/>
            <v:fill on="f" focussize="0,0"/>
            <v:stroke weight="1.5pt" color="#000000"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</w:rPr>
        <w:pict>
          <v:line id="_x0000_s2052" o:spid="_x0000_s2052" o:spt="20" style="position:absolute;left:0pt;margin-left:0pt;margin-top:3.1pt;height:0pt;width:453.1pt;z-index:251685888;mso-width-relative:page;mso-height-relative:page;" filled="f" stroked="t" coordsize="21600,21600" o:gfxdata="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fXReNAAAAAFAQAADwAAAAAA&#10;AAABACAAAAAiAAAAZHJzL2Rvd25yZXYueG1sUEsBAhQAFAAAAAgAh07iQMQ6/djiAQAAkQMAAA4A&#10;AAAAAAAAAQAgAAAAHwEAAGRycy9lMm9Eb2MueG1sUEsFBgAAAAAGAAYAWQEAAHMFAAAAAA==&#10;">
            <v:path arrowok="t"/>
            <v:fill on="f" focussize="0,0"/>
            <v:stroke weight="1.5pt" color="#000000"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</w:rPr>
        <w:t xml:space="preserve">高新区行政审批局           </w:t>
      </w:r>
      <w:r>
        <w:rPr>
          <w:rFonts w:hint="eastAsia" w:eastAsia="华文仿宋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20</w:t>
      </w:r>
      <w:r>
        <w:rPr>
          <w:rFonts w:hint="eastAsia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年</w:t>
      </w:r>
      <w:r>
        <w:rPr>
          <w:rFonts w:hint="eastAsia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月</w:t>
      </w:r>
      <w:r>
        <w:rPr>
          <w:rFonts w:hint="eastAsia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日印发</w:t>
      </w:r>
      <w:r>
        <w:rPr>
          <w:rFonts w:hint="eastAsia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tabs>
          <w:tab w:val="right" w:pos="88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（共印</w:t>
      </w:r>
      <w:r>
        <w:rPr>
          <w:rFonts w:hint="eastAsia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份</w:t>
      </w:r>
      <w:r>
        <w:rPr>
          <w:rFonts w:hint="eastAsia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，存档1份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）</w:t>
      </w:r>
    </w:p>
    <w:sectPr>
      <w:headerReference r:id="rId3" w:type="default"/>
      <w:footerReference r:id="rId4" w:type="default"/>
      <w:footerReference r:id="rId5" w:type="even"/>
      <w:pgSz w:w="11906" w:h="16838"/>
      <w:pgMar w:top="1587" w:right="1361" w:bottom="1587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hAnsi="宋体"/>
        <w:sz w:val="32"/>
        <w:szCs w:val="32"/>
      </w:rPr>
    </w:pPr>
    <w:r>
      <w:rPr>
        <w:rFonts w:ascii="宋体" w:hAnsi="宋体"/>
        <w:sz w:val="32"/>
        <w:szCs w:val="32"/>
      </w:rPr>
      <w:t xml:space="preserve">- </w:t>
    </w:r>
    <w:r>
      <w:rPr>
        <w:rFonts w:ascii="宋体" w:hAnsi="宋体"/>
        <w:sz w:val="32"/>
        <w:szCs w:val="32"/>
      </w:rPr>
      <w:fldChar w:fldCharType="begin"/>
    </w:r>
    <w:r>
      <w:rPr>
        <w:rFonts w:ascii="宋体" w:hAnsi="宋体"/>
        <w:sz w:val="32"/>
        <w:szCs w:val="32"/>
      </w:rPr>
      <w:instrText xml:space="preserve"> PAGE </w:instrText>
    </w:r>
    <w:r>
      <w:rPr>
        <w:rFonts w:ascii="宋体" w:hAnsi="宋体"/>
        <w:sz w:val="32"/>
        <w:szCs w:val="32"/>
      </w:rPr>
      <w:fldChar w:fldCharType="separate"/>
    </w:r>
    <w:r>
      <w:rPr>
        <w:rFonts w:ascii="宋体" w:hAnsi="宋体"/>
        <w:sz w:val="32"/>
        <w:szCs w:val="32"/>
      </w:rPr>
      <w:t>2</w:t>
    </w:r>
    <w:r>
      <w:rPr>
        <w:rFonts w:ascii="宋体" w:hAnsi="宋体"/>
        <w:sz w:val="32"/>
        <w:szCs w:val="32"/>
      </w:rPr>
      <w:fldChar w:fldCharType="end"/>
    </w:r>
    <w:r>
      <w:rPr>
        <w:rFonts w:ascii="宋体" w:hAnsi="宋体"/>
        <w:sz w:val="32"/>
        <w:szCs w:val="3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010E"/>
    <w:rsid w:val="0002771D"/>
    <w:rsid w:val="00204473"/>
    <w:rsid w:val="002B412E"/>
    <w:rsid w:val="003C2645"/>
    <w:rsid w:val="003F57AF"/>
    <w:rsid w:val="00470AC4"/>
    <w:rsid w:val="00472DAD"/>
    <w:rsid w:val="005D4A8A"/>
    <w:rsid w:val="00721E0F"/>
    <w:rsid w:val="008560BE"/>
    <w:rsid w:val="008B010E"/>
    <w:rsid w:val="009A0599"/>
    <w:rsid w:val="00BA08DA"/>
    <w:rsid w:val="00BC5687"/>
    <w:rsid w:val="00CE6876"/>
    <w:rsid w:val="00DE7F36"/>
    <w:rsid w:val="00DF5386"/>
    <w:rsid w:val="01E46EAB"/>
    <w:rsid w:val="03B269EB"/>
    <w:rsid w:val="06C95E74"/>
    <w:rsid w:val="07622397"/>
    <w:rsid w:val="07EF4AC0"/>
    <w:rsid w:val="086C13ED"/>
    <w:rsid w:val="0B017DFC"/>
    <w:rsid w:val="0C7348F6"/>
    <w:rsid w:val="0EAA775B"/>
    <w:rsid w:val="10496A15"/>
    <w:rsid w:val="11954749"/>
    <w:rsid w:val="128D6F29"/>
    <w:rsid w:val="13AD6107"/>
    <w:rsid w:val="174B4C0D"/>
    <w:rsid w:val="17AF6709"/>
    <w:rsid w:val="17F40652"/>
    <w:rsid w:val="18372E0F"/>
    <w:rsid w:val="18D97685"/>
    <w:rsid w:val="198A7200"/>
    <w:rsid w:val="1B902832"/>
    <w:rsid w:val="1E1259BA"/>
    <w:rsid w:val="2166526B"/>
    <w:rsid w:val="21CB6A60"/>
    <w:rsid w:val="22EF397C"/>
    <w:rsid w:val="246401C0"/>
    <w:rsid w:val="25C80578"/>
    <w:rsid w:val="273F223B"/>
    <w:rsid w:val="277B5530"/>
    <w:rsid w:val="27840A32"/>
    <w:rsid w:val="27BC1E2E"/>
    <w:rsid w:val="2A304B67"/>
    <w:rsid w:val="2C5100B5"/>
    <w:rsid w:val="2DBB221D"/>
    <w:rsid w:val="2E6260A8"/>
    <w:rsid w:val="2F6E616E"/>
    <w:rsid w:val="32CE304A"/>
    <w:rsid w:val="34883D42"/>
    <w:rsid w:val="35C34C5F"/>
    <w:rsid w:val="37D63F30"/>
    <w:rsid w:val="38650D70"/>
    <w:rsid w:val="38CE0856"/>
    <w:rsid w:val="396B7181"/>
    <w:rsid w:val="3B3F2B14"/>
    <w:rsid w:val="3E277305"/>
    <w:rsid w:val="3EC526CC"/>
    <w:rsid w:val="3F3B789E"/>
    <w:rsid w:val="41A70ABB"/>
    <w:rsid w:val="422D71A3"/>
    <w:rsid w:val="4299329A"/>
    <w:rsid w:val="42C93271"/>
    <w:rsid w:val="430A0DBD"/>
    <w:rsid w:val="433419DE"/>
    <w:rsid w:val="43AC3FCE"/>
    <w:rsid w:val="44867688"/>
    <w:rsid w:val="47D171B3"/>
    <w:rsid w:val="49373F2E"/>
    <w:rsid w:val="4A016248"/>
    <w:rsid w:val="4BFD01D9"/>
    <w:rsid w:val="4C8110D1"/>
    <w:rsid w:val="4D54676A"/>
    <w:rsid w:val="4E5936D6"/>
    <w:rsid w:val="51D77B6E"/>
    <w:rsid w:val="53C81961"/>
    <w:rsid w:val="5439514D"/>
    <w:rsid w:val="56AD03A4"/>
    <w:rsid w:val="57970437"/>
    <w:rsid w:val="5C8D6DEC"/>
    <w:rsid w:val="5E1C2537"/>
    <w:rsid w:val="60167BD9"/>
    <w:rsid w:val="60DF1477"/>
    <w:rsid w:val="63FC38AF"/>
    <w:rsid w:val="649D6655"/>
    <w:rsid w:val="668A1FF6"/>
    <w:rsid w:val="68B1312C"/>
    <w:rsid w:val="692B2656"/>
    <w:rsid w:val="6E984032"/>
    <w:rsid w:val="6EBB720B"/>
    <w:rsid w:val="6F5B03D7"/>
    <w:rsid w:val="729A5FFC"/>
    <w:rsid w:val="767370E1"/>
    <w:rsid w:val="772F0F4E"/>
    <w:rsid w:val="795F57FF"/>
    <w:rsid w:val="798448BF"/>
    <w:rsid w:val="7A1824C2"/>
    <w:rsid w:val="7BA42888"/>
    <w:rsid w:val="7C3D10E8"/>
    <w:rsid w:val="7DE035E1"/>
    <w:rsid w:val="7E46141D"/>
    <w:rsid w:val="7F9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Plain Text"/>
    <w:basedOn w:val="1"/>
    <w:qFormat/>
    <w:uiPriority w:val="0"/>
    <w:rPr>
      <w:rFonts w:ascii="宋体" w:hAnsi="Courier New"/>
      <w:sz w:val="28"/>
      <w:szCs w:val="20"/>
    </w:r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6"/>
    <w:qFormat/>
    <w:uiPriority w:val="0"/>
    <w:rPr>
      <w:rFonts w:eastAsia="仿宋_GB2312"/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rFonts w:eastAsia="仿宋_GB2312"/>
      <w:kern w:val="2"/>
      <w:sz w:val="18"/>
      <w:szCs w:val="18"/>
    </w:rPr>
  </w:style>
  <w:style w:type="character" w:customStyle="1" w:styleId="12">
    <w:name w:val="日期 Char"/>
    <w:basedOn w:val="8"/>
    <w:link w:val="4"/>
    <w:qFormat/>
    <w:uiPriority w:val="0"/>
    <w:rPr>
      <w:rFonts w:eastAsia="仿宋_GB2312"/>
      <w:kern w:val="2"/>
      <w:sz w:val="30"/>
      <w:szCs w:val="24"/>
    </w:rPr>
  </w:style>
  <w:style w:type="paragraph" w:customStyle="1" w:styleId="13">
    <w:name w:val="Table Paragraph"/>
    <w:basedOn w:val="1"/>
    <w:qFormat/>
    <w:uiPriority w:val="1"/>
    <w:pPr>
      <w:jc w:val="left"/>
    </w:pPr>
    <w:rPr>
      <w:rFonts w:ascii="Calibri" w:hAnsi="Calibri" w:eastAsia="宋体"/>
      <w:kern w:val="0"/>
      <w:sz w:val="22"/>
      <w:szCs w:val="22"/>
      <w:lang w:eastAsia="en-US"/>
    </w:rPr>
  </w:style>
  <w:style w:type="paragraph" w:customStyle="1" w:styleId="14">
    <w:name w:val="技术评估意见正文"/>
    <w:basedOn w:val="15"/>
    <w:qFormat/>
    <w:uiPriority w:val="0"/>
    <w:pPr>
      <w:jc w:val="both"/>
    </w:pPr>
    <w:rPr>
      <w:rFonts w:hAnsi="宋体" w:eastAsia="仿宋_GB2312"/>
      <w:color w:val="auto"/>
      <w:kern w:val="0"/>
      <w:sz w:val="32"/>
      <w:szCs w:val="32"/>
    </w:rPr>
  </w:style>
  <w:style w:type="paragraph" w:customStyle="1" w:styleId="15">
    <w:name w:val="评估意见正文文字"/>
    <w:basedOn w:val="1"/>
    <w:qFormat/>
    <w:uiPriority w:val="0"/>
    <w:pPr>
      <w:ind w:firstLine="640" w:firstLineChars="200"/>
      <w:jc w:val="left"/>
    </w:pPr>
    <w:rPr>
      <w:rFonts w:ascii="Times New Roman" w:hAnsi="Times New Roman" w:eastAsia="仿宋" w:cs="Times New Roman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3</Pages>
  <Words>169</Words>
  <Characters>964</Characters>
  <Lines>8</Lines>
  <Paragraphs>2</Paragraphs>
  <TotalTime>4</TotalTime>
  <ScaleCrop>false</ScaleCrop>
  <LinksUpToDate>false</LinksUpToDate>
  <CharactersWithSpaces>1131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2018-11-22T09:07:00Z</dcterms:created>
  <dc:creator>李惠文</dc:creator>
  <cp:lastModifiedBy>Lenovo</cp:lastModifiedBy>
  <cp:lastPrinted>2020-08-05T01:58:00Z</cp:lastPrinted>
  <dcterms:modified xsi:type="dcterms:W3CDTF">2021-03-12T02:30:25Z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