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w:t>
      </w:r>
      <w:r>
        <w:rPr>
          <w:rFonts w:hint="eastAsia" w:eastAsia="方正仿宋简体" w:cs="Times New Roman"/>
          <w:b w:val="0"/>
          <w:bCs w:val="0"/>
          <w:spacing w:val="0"/>
          <w:sz w:val="32"/>
          <w:szCs w:val="32"/>
          <w:lang w:val="en-US" w:eastAsia="zh-CN"/>
        </w:rPr>
        <w:t>40</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eastAsia" w:ascii="Times New Roman" w:hAnsi="Times New Roman" w:eastAsia="方正小标宋简体" w:cs="Times New Roman"/>
          <w:b w:val="0"/>
          <w:bCs/>
          <w:spacing w:val="-6"/>
          <w:sz w:val="44"/>
          <w:szCs w:val="44"/>
          <w:lang w:val="en-US" w:eastAsia="zh-CN"/>
        </w:rPr>
        <w:t xml:space="preserve"> </w:t>
      </w:r>
      <w:r>
        <w:rPr>
          <w:rFonts w:hint="default" w:ascii="Times New Roman" w:hAnsi="Times New Roman" w:eastAsia="方正小标宋简体" w:cs="Times New Roman"/>
          <w:b w:val="0"/>
          <w:bCs/>
          <w:spacing w:val="-6"/>
          <w:sz w:val="44"/>
          <w:szCs w:val="44"/>
        </w:rPr>
        <w:t>关于</w:t>
      </w:r>
      <w:r>
        <w:rPr>
          <w:rFonts w:hint="default" w:ascii="Times New Roman" w:hAnsi="Times New Roman" w:eastAsia="方正小标宋简体" w:cs="Times New Roman"/>
          <w:sz w:val="44"/>
          <w:szCs w:val="44"/>
        </w:rPr>
        <w:t>河源市广汇汽车销售服务有限公司（广汽丰田4s店）改扩建项目</w:t>
      </w:r>
      <w:r>
        <w:rPr>
          <w:rFonts w:hint="default" w:ascii="Times New Roman" w:hAnsi="Times New Roman" w:eastAsia="方正小标宋简体" w:cs="Times New Roman"/>
          <w:b w:val="0"/>
          <w:bCs/>
          <w:spacing w:val="-6"/>
          <w:sz w:val="44"/>
          <w:szCs w:val="44"/>
        </w:rPr>
        <w:t>环境影响报告表的批复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河源市广汇汽车销售服务有限公司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河源市广汇汽车销售服务有限公司（广汽丰田4s店）改扩建项目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市广汇汽车销售服务有限公司位于河源市明珠开发区河源大道西创业三路南。项目总占地面积12043平方米，建筑面积600平方米，总投资8000万元，主要从事汽车销售与维修保养等。现有项目已于2010年11月13日取得河源市生态环境局（原“河源市环境保护局”）关于河源广汇店（广汽丰田4S店）建设项目环境影响报告表的批复（河环建[2010]214号）</w:t>
      </w:r>
      <w:r>
        <w:rPr>
          <w:rFonts w:hint="eastAsia"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并于2011年4月7日取得河源市生态环境局（原“河源市环境保护局”）关于河源广汇店（广汽丰田4S店）建设项目竣工环境保护验收意见的函（河环函</w:t>
      </w:r>
      <w:r>
        <w:rPr>
          <w:rFonts w:hint="eastAsia" w:ascii="宋体" w:hAnsi="宋体" w:eastAsia="宋体" w:cs="宋体"/>
          <w:spacing w:val="0"/>
          <w:sz w:val="32"/>
          <w:szCs w:val="32"/>
          <w:lang w:eastAsia="zh-CN"/>
        </w:rPr>
        <w:t>〔</w:t>
      </w:r>
      <w:r>
        <w:rPr>
          <w:rFonts w:hint="eastAsia" w:ascii="Times New Roman" w:hAnsi="Times New Roman" w:eastAsia="方正仿宋简体" w:cs="Times New Roman"/>
          <w:spacing w:val="0"/>
          <w:sz w:val="32"/>
          <w:szCs w:val="32"/>
          <w:lang w:eastAsia="zh-CN"/>
        </w:rPr>
        <w:t>2011</w:t>
      </w:r>
      <w:r>
        <w:rPr>
          <w:rFonts w:hint="eastAsia" w:ascii="宋体" w:hAnsi="宋体" w:eastAsia="宋体" w:cs="宋体"/>
          <w:spacing w:val="0"/>
          <w:sz w:val="32"/>
          <w:szCs w:val="32"/>
          <w:lang w:eastAsia="zh-CN"/>
        </w:rPr>
        <w:t>〕</w:t>
      </w:r>
      <w:r>
        <w:rPr>
          <w:rFonts w:hint="eastAsia" w:ascii="Times New Roman" w:hAnsi="Times New Roman" w:eastAsia="方正仿宋简体" w:cs="Times New Roman"/>
          <w:spacing w:val="0"/>
          <w:sz w:val="32"/>
          <w:szCs w:val="32"/>
          <w:lang w:eastAsia="zh-CN"/>
        </w:rPr>
        <w:t>355号）。</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企业拟在现有项目占地处新增一个维修车间，包含两个喷漆房，同时拆除原有的一个喷漆房。</w:t>
      </w:r>
      <w:r>
        <w:rPr>
          <w:rFonts w:hint="eastAsia" w:eastAsia="方正仿宋简体" w:cs="Times New Roman"/>
          <w:spacing w:val="0"/>
          <w:sz w:val="32"/>
          <w:szCs w:val="32"/>
          <w:lang w:eastAsia="zh-CN"/>
        </w:rPr>
        <w:t>改扩建</w:t>
      </w:r>
      <w:r>
        <w:rPr>
          <w:rFonts w:hint="default" w:ascii="Times New Roman" w:hAnsi="Times New Roman" w:eastAsia="方正仿宋简体" w:cs="Times New Roman"/>
          <w:spacing w:val="0"/>
          <w:sz w:val="32"/>
          <w:szCs w:val="32"/>
          <w:lang w:eastAsia="zh-CN"/>
        </w:rPr>
        <w:t>后，预计年新增年销售汽车</w:t>
      </w:r>
      <w:r>
        <w:rPr>
          <w:rFonts w:hint="eastAsia" w:ascii="Times New Roman" w:eastAsia="方正仿宋简体" w:cs="Times New Roman"/>
          <w:spacing w:val="0"/>
          <w:sz w:val="32"/>
          <w:szCs w:val="32"/>
          <w:lang w:val="en-US" w:eastAsia="zh-CN"/>
        </w:rPr>
        <w:t>50</w:t>
      </w:r>
      <w:r>
        <w:rPr>
          <w:rFonts w:hint="default" w:ascii="Times New Roman" w:hAnsi="Times New Roman" w:eastAsia="方正仿宋简体" w:cs="Times New Roman"/>
          <w:spacing w:val="0"/>
          <w:sz w:val="32"/>
          <w:szCs w:val="32"/>
          <w:lang w:eastAsia="zh-CN"/>
        </w:rPr>
        <w:t>00辆、汽车维修保养</w:t>
      </w:r>
      <w:r>
        <w:rPr>
          <w:rFonts w:hint="eastAsia" w:ascii="Times New Roman" w:eastAsia="方正仿宋简体" w:cs="Times New Roman"/>
          <w:spacing w:val="0"/>
          <w:sz w:val="32"/>
          <w:szCs w:val="32"/>
          <w:lang w:val="en-US" w:eastAsia="zh-CN"/>
        </w:rPr>
        <w:t>15</w:t>
      </w:r>
      <w:r>
        <w:rPr>
          <w:rFonts w:hint="default" w:ascii="Times New Roman" w:hAnsi="Times New Roman" w:eastAsia="方正仿宋简体" w:cs="Times New Roman"/>
          <w:spacing w:val="0"/>
          <w:sz w:val="32"/>
          <w:szCs w:val="32"/>
          <w:lang w:eastAsia="zh-CN"/>
        </w:rPr>
        <w:t>00辆、汽车喷漆</w:t>
      </w:r>
      <w:r>
        <w:rPr>
          <w:rFonts w:hint="eastAsia" w:asci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lang w:eastAsia="zh-CN"/>
        </w:rPr>
        <w:t>00辆、汽车清洗1</w:t>
      </w:r>
      <w:r>
        <w:rPr>
          <w:rFonts w:hint="eastAsia" w:ascii="Times New Roman" w:eastAsia="方正仿宋简体" w:cs="Times New Roman"/>
          <w:spacing w:val="0"/>
          <w:sz w:val="32"/>
          <w:szCs w:val="32"/>
          <w:lang w:val="en-US" w:eastAsia="zh-CN"/>
        </w:rPr>
        <w:t>485</w:t>
      </w:r>
      <w:r>
        <w:rPr>
          <w:rFonts w:hint="default" w:ascii="Times New Roman" w:hAnsi="Times New Roman" w:eastAsia="方正仿宋简体" w:cs="Times New Roman"/>
          <w:spacing w:val="0"/>
          <w:sz w:val="32"/>
          <w:szCs w:val="32"/>
          <w:lang w:eastAsia="zh-CN"/>
        </w:rPr>
        <w:t>0辆</w:t>
      </w:r>
      <w:r>
        <w:rPr>
          <w:rFonts w:hint="eastAsia" w:ascii="Times New Roman" w:hAnsi="Times New Roman" w:eastAsia="方正仿宋简体" w:cs="Times New Roman"/>
          <w:spacing w:val="0"/>
          <w:sz w:val="32"/>
          <w:szCs w:val="32"/>
          <w:lang w:eastAsia="zh-CN"/>
        </w:rPr>
        <w:t>。</w:t>
      </w:r>
      <w:r>
        <w:rPr>
          <w:rFonts w:hint="eastAsia" w:eastAsia="方正仿宋简体" w:cs="Times New Roman"/>
          <w:spacing w:val="0"/>
          <w:sz w:val="32"/>
          <w:szCs w:val="32"/>
          <w:lang w:eastAsia="zh-CN"/>
        </w:rPr>
        <w:t>改</w:t>
      </w:r>
      <w:r>
        <w:rPr>
          <w:rFonts w:hint="default" w:ascii="Times New Roman" w:hAnsi="Times New Roman" w:eastAsia="方正仿宋简体" w:cs="Times New Roman"/>
          <w:spacing w:val="0"/>
          <w:sz w:val="32"/>
          <w:szCs w:val="32"/>
          <w:lang w:eastAsia="zh-CN"/>
        </w:rPr>
        <w:t>扩建</w:t>
      </w:r>
      <w:r>
        <w:rPr>
          <w:rFonts w:hint="eastAsia" w:eastAsia="方正仿宋简体" w:cs="Times New Roman"/>
          <w:spacing w:val="0"/>
          <w:sz w:val="32"/>
          <w:szCs w:val="32"/>
          <w:lang w:eastAsia="zh-CN"/>
        </w:rPr>
        <w:t>项目</w:t>
      </w:r>
      <w:r>
        <w:rPr>
          <w:rFonts w:hint="default" w:ascii="Times New Roman" w:hAnsi="Times New Roman" w:eastAsia="方正仿宋简体" w:cs="Times New Roman"/>
          <w:spacing w:val="0"/>
          <w:sz w:val="32"/>
          <w:szCs w:val="32"/>
          <w:lang w:eastAsia="zh-CN"/>
        </w:rPr>
        <w:t>不新增员工</w:t>
      </w:r>
      <w:r>
        <w:rPr>
          <w:rFonts w:hint="eastAsia"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员工不在</w:t>
      </w:r>
      <w:r>
        <w:rPr>
          <w:rFonts w:hint="eastAsia" w:eastAsia="方正仿宋简体" w:cs="Times New Roman"/>
          <w:spacing w:val="0"/>
          <w:sz w:val="32"/>
          <w:szCs w:val="32"/>
          <w:lang w:eastAsia="zh-CN"/>
        </w:rPr>
        <w:t>厂</w:t>
      </w:r>
      <w:r>
        <w:rPr>
          <w:rFonts w:hint="eastAsia" w:ascii="Times New Roman" w:hAnsi="Times New Roman" w:eastAsia="方正仿宋简体" w:cs="Times New Roman"/>
          <w:spacing w:val="0"/>
          <w:sz w:val="32"/>
          <w:szCs w:val="32"/>
          <w:lang w:eastAsia="zh-CN"/>
        </w:rPr>
        <w:t>内宿舍，全年工作天数330天，工作制度为每天1班制，每班8小时。</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w:t>
      </w:r>
      <w:r>
        <w:rPr>
          <w:rFonts w:hint="eastAsia" w:eastAsia="方正仿宋简体" w:cs="Times New Roman"/>
          <w:spacing w:val="0"/>
          <w:sz w:val="32"/>
          <w:szCs w:val="32"/>
          <w:lang w:eastAsia="zh-CN"/>
        </w:rPr>
        <w:t>改扩建</w:t>
      </w:r>
      <w:r>
        <w:rPr>
          <w:rFonts w:hint="default" w:ascii="Times New Roman" w:hAnsi="Times New Roman" w:eastAsia="方正仿宋简体" w:cs="Times New Roman"/>
          <w:spacing w:val="0"/>
          <w:sz w:val="32"/>
          <w:szCs w:val="32"/>
        </w:rPr>
        <w:t>项目环境影响报告表评价结论和</w:t>
      </w:r>
      <w:r>
        <w:rPr>
          <w:rFonts w:hint="eastAsia" w:eastAsia="方正仿宋简体" w:cs="Times New Roman"/>
          <w:spacing w:val="0"/>
          <w:sz w:val="32"/>
          <w:szCs w:val="32"/>
          <w:lang w:eastAsia="zh-CN"/>
        </w:rPr>
        <w:t>广东省环境保护职业技术学校</w:t>
      </w:r>
      <w:r>
        <w:rPr>
          <w:rFonts w:hint="default" w:ascii="Times New Roman" w:hAnsi="Times New Roman" w:eastAsia="方正仿宋简体" w:cs="Times New Roman"/>
          <w:spacing w:val="0"/>
          <w:sz w:val="32"/>
          <w:szCs w:val="32"/>
        </w:rPr>
        <w:t>评估意见，在落实各项污染防治措施、确保污染物排放稳定达标</w:t>
      </w:r>
      <w:r>
        <w:rPr>
          <w:rFonts w:eastAsia="方正仿宋简体"/>
          <w:sz w:val="32"/>
          <w:szCs w:val="32"/>
        </w:rPr>
        <w:t>及符合总量控制的前提下</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eastAsia" w:eastAsia="方正仿宋简体" w:cs="Times New Roman"/>
          <w:spacing w:val="0"/>
          <w:sz w:val="32"/>
          <w:szCs w:val="32"/>
          <w:lang w:eastAsia="zh-CN"/>
        </w:rPr>
        <w:t>二</w:t>
      </w:r>
      <w:r>
        <w:rPr>
          <w:rFonts w:hint="default" w:ascii="Times New Roman" w:hAnsi="Times New Roman" w:eastAsia="方正仿宋简体" w:cs="Times New Roman"/>
          <w:spacing w:val="0"/>
          <w:sz w:val="32"/>
          <w:szCs w:val="32"/>
        </w:rPr>
        <w:t>、项目建设及运营期间，重点做好以下环保工作：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w:t>
      </w:r>
      <w:r>
        <w:rPr>
          <w:rFonts w:hint="default" w:ascii="Times New Roman" w:hAnsi="Times New Roman" w:eastAsia="方正仿宋简体" w:cs="Times New Roman"/>
          <w:spacing w:val="0"/>
          <w:sz w:val="32"/>
          <w:szCs w:val="32"/>
        </w:rPr>
        <w:t>严格执行“雨污分流”制度，</w:t>
      </w:r>
      <w:r>
        <w:rPr>
          <w:rFonts w:hint="eastAsia" w:ascii="Times New Roman" w:hAnsi="Times New Roman" w:eastAsia="方正仿宋简体" w:cs="Times New Roman"/>
          <w:spacing w:val="0"/>
          <w:sz w:val="32"/>
          <w:szCs w:val="32"/>
          <w:lang w:eastAsia="zh-CN"/>
        </w:rPr>
        <w:t>雨水排入市政雨水管道；车辆</w:t>
      </w:r>
      <w:r>
        <w:rPr>
          <w:rFonts w:hint="eastAsia" w:ascii="Times New Roman" w:hAnsi="Times New Roman" w:eastAsia="方正仿宋简体" w:cs="Times New Roman"/>
          <w:spacing w:val="0"/>
          <w:sz w:val="32"/>
          <w:szCs w:val="32"/>
        </w:rPr>
        <w:t>清洗废水经隔油沉淀池处理</w:t>
      </w:r>
      <w:r>
        <w:rPr>
          <w:rFonts w:hint="eastAsia" w:ascii="Times New Roman" w:hAnsi="Times New Roman" w:eastAsia="方正仿宋简体" w:cs="Times New Roman"/>
          <w:spacing w:val="0"/>
          <w:sz w:val="32"/>
          <w:szCs w:val="32"/>
          <w:lang w:eastAsia="zh-CN"/>
        </w:rPr>
        <w:t>达到</w:t>
      </w:r>
      <w:r>
        <w:rPr>
          <w:rFonts w:hint="eastAsia" w:ascii="Times New Roman" w:hAnsi="Times New Roman" w:eastAsia="方正仿宋简体" w:cs="Times New Roman"/>
          <w:spacing w:val="0"/>
          <w:sz w:val="32"/>
          <w:szCs w:val="32"/>
        </w:rPr>
        <w:t>《汽车维修业水污染物排放标准》（GB26877-2011）新建企业间接排放限值</w:t>
      </w:r>
      <w:r>
        <w:rPr>
          <w:rFonts w:hint="eastAsia" w:eastAsia="方正仿宋简体" w:cs="Times New Roman"/>
          <w:spacing w:val="0"/>
          <w:sz w:val="32"/>
          <w:szCs w:val="32"/>
          <w:lang w:eastAsia="zh-CN"/>
        </w:rPr>
        <w:t>后</w:t>
      </w:r>
      <w:r>
        <w:rPr>
          <w:rFonts w:hint="eastAsia" w:ascii="Times New Roman" w:hAnsi="Times New Roman" w:eastAsia="方正仿宋简体" w:cs="Times New Roman"/>
          <w:spacing w:val="0"/>
          <w:sz w:val="32"/>
          <w:szCs w:val="32"/>
        </w:rPr>
        <w:t>排入市政</w:t>
      </w:r>
      <w:r>
        <w:rPr>
          <w:rFonts w:hint="eastAsia" w:eastAsia="方正仿宋简体" w:cs="Times New Roman"/>
          <w:spacing w:val="0"/>
          <w:sz w:val="32"/>
          <w:szCs w:val="32"/>
          <w:lang w:eastAsia="zh-CN"/>
        </w:rPr>
        <w:t>污水</w:t>
      </w:r>
      <w:r>
        <w:rPr>
          <w:rFonts w:hint="eastAsia" w:ascii="Times New Roman" w:hAnsi="Times New Roman" w:eastAsia="方正仿宋简体" w:cs="Times New Roman"/>
          <w:spacing w:val="0"/>
          <w:sz w:val="32"/>
          <w:szCs w:val="32"/>
        </w:rPr>
        <w:t>管网，进入城镇污水处理厂集中处理</w:t>
      </w:r>
      <w:r>
        <w:rPr>
          <w:rFonts w:hint="eastAsia"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eastAsia="方正仿宋简体" w:cs="Times New Roman"/>
          <w:spacing w:val="0"/>
          <w:sz w:val="32"/>
          <w:szCs w:val="32"/>
          <w:lang w:eastAsia="zh-CN"/>
        </w:rPr>
        <w:t>生产须使用环保型油漆，喷漆、烤漆等工序在密闭的喷漆房内进行，产生的有机废气经收集处理达标后按规范高空排放；加强车间通风，降低无组织焊接烟尘、打磨粉尘对环境的影响。挥发性有机物排放执行广东省《表面涂装（汽车制造业）挥发性有机化合物排放标准》（DB44/816-2010）第Ⅱ时段准及无组织排放浓度限值，颗粒物排放执行广东省《大气污染物排放限值》（DB44/27-2001）第二时段二级标准及无组织排放监控浓度限值。</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lang w:eastAsia="zh-CN"/>
        </w:rPr>
        <w:t>项目相应厂界噪声排放执行《工业企业厂界环境噪声排放标准》（GB12348-2008）</w:t>
      </w:r>
      <w:r>
        <w:rPr>
          <w:rFonts w:hint="default" w:ascii="Times New Roman" w:hAnsi="Times New Roman" w:eastAsia="方正仿宋简体" w:cs="Times New Roman"/>
          <w:spacing w:val="0"/>
          <w:sz w:val="32"/>
          <w:szCs w:val="32"/>
        </w:rPr>
        <w:t>3类</w:t>
      </w:r>
      <w:r>
        <w:rPr>
          <w:rFonts w:hint="eastAsia" w:eastAsia="方正仿宋简体" w:cs="Times New Roman"/>
          <w:spacing w:val="0"/>
          <w:sz w:val="32"/>
          <w:szCs w:val="32"/>
          <w:lang w:eastAsia="zh-CN"/>
        </w:rPr>
        <w:t>、</w:t>
      </w:r>
      <w:r>
        <w:rPr>
          <w:rFonts w:hint="default" w:ascii="Times New Roman" w:hAnsi="Times New Roman" w:eastAsia="仿宋" w:cs="Times New Roman"/>
          <w:lang w:val="en-US" w:eastAsia="zh-CN"/>
        </w:rPr>
        <w:t>4</w:t>
      </w:r>
      <w:r>
        <w:rPr>
          <w:rFonts w:hint="default" w:ascii="Times New Roman" w:hAnsi="Times New Roman" w:eastAsia="仿宋" w:cs="Times New Roman"/>
          <w:lang w:eastAsia="zh-CN"/>
        </w:rPr>
        <w:t>类</w:t>
      </w:r>
      <w:r>
        <w:rPr>
          <w:rFonts w:hint="default" w:ascii="Times New Roman" w:hAnsi="Times New Roman" w:eastAsia="方正仿宋简体" w:cs="Times New Roman"/>
          <w:spacing w:val="0"/>
          <w:sz w:val="32"/>
          <w:szCs w:val="32"/>
          <w:lang w:eastAsia="zh-CN"/>
        </w:rPr>
        <w:t>标准限值要求。</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（四）</w:t>
      </w:r>
      <w:r>
        <w:rPr>
          <w:rFonts w:eastAsia="方正仿宋简体"/>
          <w:sz w:val="32"/>
          <w:szCs w:val="32"/>
        </w:rPr>
        <w:t>做好固体废物的分类收集</w:t>
      </w:r>
      <w:r>
        <w:rPr>
          <w:rFonts w:hint="eastAsia" w:eastAsia="方正仿宋简体"/>
          <w:sz w:val="32"/>
          <w:szCs w:val="32"/>
        </w:rPr>
        <w:t>和</w:t>
      </w:r>
      <w:r>
        <w:rPr>
          <w:rFonts w:eastAsia="方正仿宋简体"/>
          <w:sz w:val="32"/>
          <w:szCs w:val="32"/>
        </w:rPr>
        <w:t>综合利用工作，防止造成二次污染。</w:t>
      </w:r>
      <w:r>
        <w:rPr>
          <w:rFonts w:hint="eastAsia" w:eastAsia="方正仿宋简体"/>
          <w:sz w:val="32"/>
          <w:szCs w:val="32"/>
        </w:rPr>
        <w:t>危险废物应按规范要求处理处置，其在厂内暂存应符合《危险废物贮存污染控制标准》（GB18579-2001）；一般固体废弃物应综合利用或妥善处置，</w:t>
      </w:r>
      <w:r>
        <w:rPr>
          <w:rFonts w:eastAsia="方正仿宋简体"/>
          <w:sz w:val="32"/>
          <w:szCs w:val="32"/>
        </w:rPr>
        <w:t>其在厂内暂存应符合《一般工业固体废物贮存、处置场污染控制标准》（GB18599-2001）；生活垃圾统一收集后交由环卫部门清运</w:t>
      </w:r>
      <w:r>
        <w:rPr>
          <w:rFonts w:hint="eastAsia"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pacing w:val="0"/>
          <w:kern w:val="2"/>
          <w:sz w:val="32"/>
          <w:szCs w:val="20"/>
          <w:lang w:val="en-US" w:eastAsia="zh-CN" w:bidi="ar-SA"/>
        </w:rPr>
      </w:pPr>
      <w:r>
        <w:rPr>
          <w:rFonts w:hint="eastAsia" w:eastAsia="方正仿宋简体" w:cs="Times New Roman"/>
          <w:color w:val="auto"/>
          <w:spacing w:val="0"/>
          <w:sz w:val="32"/>
          <w:szCs w:val="32"/>
          <w:lang w:eastAsia="zh-CN"/>
        </w:rPr>
        <w:t>三</w:t>
      </w:r>
      <w:r>
        <w:rPr>
          <w:rFonts w:hint="default" w:ascii="Times New Roman" w:hAnsi="Times New Roman" w:eastAsia="方正仿宋简体" w:cs="Times New Roman"/>
          <w:color w:val="auto"/>
          <w:spacing w:val="0"/>
          <w:sz w:val="32"/>
          <w:szCs w:val="32"/>
          <w:lang w:eastAsia="zh-CN"/>
        </w:rPr>
        <w:t>、</w:t>
      </w:r>
      <w:r>
        <w:rPr>
          <w:rFonts w:hint="eastAsia" w:eastAsia="方正仿宋简体" w:cs="Times New Roman"/>
          <w:color w:val="auto"/>
          <w:spacing w:val="0"/>
          <w:sz w:val="32"/>
          <w:szCs w:val="32"/>
          <w:lang w:eastAsia="zh-CN"/>
        </w:rPr>
        <w:t>改扩建项目废气</w:t>
      </w:r>
      <w:r>
        <w:rPr>
          <w:rFonts w:hint="eastAsia" w:eastAsia="方正仿宋简体" w:cs="Times New Roman"/>
          <w:color w:val="auto"/>
          <w:spacing w:val="0"/>
          <w:kern w:val="2"/>
          <w:sz w:val="32"/>
          <w:szCs w:val="20"/>
          <w:lang w:val="en-US" w:eastAsia="zh-CN" w:bidi="ar-SA"/>
        </w:rPr>
        <w:t>主要</w:t>
      </w:r>
      <w:r>
        <w:rPr>
          <w:rFonts w:hint="eastAsia" w:ascii="Times New Roman" w:hAnsi="Times New Roman" w:eastAsia="方正仿宋简体" w:cs="Times New Roman"/>
          <w:color w:val="auto"/>
          <w:spacing w:val="0"/>
          <w:kern w:val="2"/>
          <w:sz w:val="32"/>
          <w:szCs w:val="20"/>
          <w:lang w:val="en-US" w:eastAsia="zh-CN" w:bidi="ar-SA"/>
        </w:rPr>
        <w:t>污染物VOC</w:t>
      </w:r>
      <w:r>
        <w:rPr>
          <w:rFonts w:hint="eastAsia" w:ascii="Times New Roman" w:hAnsi="Times New Roman" w:eastAsia="方正仿宋简体" w:cs="Times New Roman"/>
          <w:color w:val="auto"/>
          <w:spacing w:val="0"/>
          <w:kern w:val="2"/>
          <w:sz w:val="32"/>
          <w:szCs w:val="20"/>
          <w:vertAlign w:val="subscript"/>
          <w:lang w:val="en-US" w:eastAsia="zh-CN" w:bidi="ar-SA"/>
        </w:rPr>
        <w:t>s</w:t>
      </w:r>
      <w:r>
        <w:rPr>
          <w:rFonts w:hint="eastAsia" w:ascii="Times New Roman" w:hAnsi="Times New Roman" w:eastAsia="方正仿宋简体" w:cs="Times New Roman"/>
          <w:color w:val="auto"/>
          <w:spacing w:val="0"/>
          <w:kern w:val="2"/>
          <w:sz w:val="32"/>
          <w:szCs w:val="20"/>
          <w:lang w:val="en-US" w:eastAsia="zh-CN" w:bidi="ar-SA"/>
        </w:rPr>
        <w:t>排放总量</w:t>
      </w:r>
      <w:r>
        <w:rPr>
          <w:rFonts w:hint="eastAsia" w:eastAsia="方正仿宋简体" w:cs="Times New Roman"/>
          <w:color w:val="auto"/>
          <w:spacing w:val="0"/>
          <w:kern w:val="2"/>
          <w:sz w:val="32"/>
          <w:szCs w:val="20"/>
          <w:lang w:val="en-US" w:eastAsia="zh-CN" w:bidi="ar-SA"/>
        </w:rPr>
        <w:t>为0.078</w:t>
      </w:r>
      <w:r>
        <w:rPr>
          <w:rFonts w:hint="eastAsia" w:ascii="Times New Roman" w:hAnsi="Times New Roman" w:eastAsia="方正仿宋简体" w:cs="Times New Roman"/>
          <w:color w:val="auto"/>
          <w:spacing w:val="0"/>
          <w:kern w:val="2"/>
          <w:sz w:val="32"/>
          <w:szCs w:val="20"/>
          <w:lang w:val="en-US" w:eastAsia="zh-CN" w:bidi="ar-SA"/>
        </w:rPr>
        <w:t>吨/年（其中有组织排放量为0.</w:t>
      </w:r>
      <w:r>
        <w:rPr>
          <w:rFonts w:hint="eastAsia" w:eastAsia="方正仿宋简体" w:cs="Times New Roman"/>
          <w:color w:val="auto"/>
          <w:spacing w:val="0"/>
          <w:kern w:val="2"/>
          <w:sz w:val="32"/>
          <w:szCs w:val="20"/>
          <w:lang w:val="en-US" w:eastAsia="zh-CN" w:bidi="ar-SA"/>
        </w:rPr>
        <w:t>054</w:t>
      </w:r>
      <w:r>
        <w:rPr>
          <w:rFonts w:hint="eastAsia" w:ascii="Times New Roman" w:hAnsi="Times New Roman" w:eastAsia="方正仿宋简体" w:cs="Times New Roman"/>
          <w:color w:val="auto"/>
          <w:spacing w:val="0"/>
          <w:kern w:val="2"/>
          <w:sz w:val="32"/>
          <w:szCs w:val="20"/>
          <w:lang w:val="en-US" w:eastAsia="zh-CN" w:bidi="ar-SA"/>
        </w:rPr>
        <w:t>吨/年，无组织排放量为0.</w:t>
      </w:r>
      <w:r>
        <w:rPr>
          <w:rFonts w:hint="eastAsia" w:eastAsia="方正仿宋简体" w:cs="Times New Roman"/>
          <w:color w:val="auto"/>
          <w:spacing w:val="0"/>
          <w:kern w:val="2"/>
          <w:sz w:val="32"/>
          <w:szCs w:val="20"/>
          <w:lang w:val="en-US" w:eastAsia="zh-CN" w:bidi="ar-SA"/>
        </w:rPr>
        <w:t>024</w:t>
      </w:r>
      <w:r>
        <w:rPr>
          <w:rFonts w:hint="eastAsia" w:ascii="Times New Roman" w:hAnsi="Times New Roman" w:eastAsia="方正仿宋简体" w:cs="Times New Roman"/>
          <w:color w:val="auto"/>
          <w:spacing w:val="0"/>
          <w:kern w:val="2"/>
          <w:sz w:val="32"/>
          <w:szCs w:val="20"/>
          <w:lang w:val="en-US" w:eastAsia="zh-CN" w:bidi="ar-SA"/>
        </w:rPr>
        <w:t>吨/年）</w:t>
      </w:r>
      <w:r>
        <w:rPr>
          <w:rFonts w:hint="eastAsia" w:eastAsia="方正仿宋简体" w:cs="Times New Roman"/>
          <w:color w:val="auto"/>
          <w:spacing w:val="0"/>
          <w:kern w:val="2"/>
          <w:sz w:val="32"/>
          <w:szCs w:val="20"/>
          <w:lang w:val="en-US" w:eastAsia="zh-CN" w:bidi="ar-SA"/>
        </w:rPr>
        <w:t>，</w:t>
      </w:r>
      <w:r>
        <w:rPr>
          <w:rFonts w:hint="eastAsia" w:ascii="Times New Roman" w:hAnsi="Times New Roman" w:eastAsia="方正仿宋简体" w:cs="Times New Roman"/>
          <w:spacing w:val="0"/>
          <w:sz w:val="32"/>
          <w:lang w:val="en-US" w:eastAsia="zh-CN"/>
        </w:rPr>
        <w:t>颗粒物有组织排放量为</w:t>
      </w:r>
      <w:r>
        <w:rPr>
          <w:rFonts w:hint="eastAsia" w:ascii="Times New Roman" w:hAnsi="Times New Roman" w:eastAsia="方正仿宋简体" w:cs="Times New Roman"/>
          <w:color w:val="auto"/>
          <w:spacing w:val="0"/>
          <w:kern w:val="2"/>
          <w:sz w:val="32"/>
          <w:szCs w:val="20"/>
          <w:lang w:val="en-US" w:eastAsia="zh-CN" w:bidi="ar-SA"/>
        </w:rPr>
        <w:t>0.</w:t>
      </w:r>
      <w:r>
        <w:rPr>
          <w:rFonts w:hint="eastAsia" w:eastAsia="方正仿宋简体" w:cs="Times New Roman"/>
          <w:color w:val="auto"/>
          <w:spacing w:val="0"/>
          <w:kern w:val="2"/>
          <w:sz w:val="32"/>
          <w:szCs w:val="20"/>
          <w:lang w:val="en-US" w:eastAsia="zh-CN" w:bidi="ar-SA"/>
        </w:rPr>
        <w:t>039</w:t>
      </w:r>
      <w:r>
        <w:rPr>
          <w:rFonts w:hint="eastAsia" w:ascii="Times New Roman" w:hAnsi="Times New Roman" w:eastAsia="方正仿宋简体" w:cs="Times New Roman"/>
          <w:color w:val="auto"/>
          <w:spacing w:val="0"/>
          <w:kern w:val="2"/>
          <w:sz w:val="32"/>
          <w:szCs w:val="20"/>
          <w:lang w:val="en-US" w:eastAsia="zh-CN" w:bidi="ar-SA"/>
        </w:rPr>
        <w:t>吨/年</w:t>
      </w:r>
      <w:r>
        <w:rPr>
          <w:rFonts w:hint="eastAsia" w:eastAsia="方正仿宋简体" w:cs="Times New Roman"/>
          <w:color w:val="auto"/>
          <w:spacing w:val="0"/>
          <w:kern w:val="2"/>
          <w:sz w:val="32"/>
          <w:szCs w:val="20"/>
          <w:lang w:val="en-US" w:eastAsia="zh-CN" w:bidi="ar-SA"/>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eastAsia="方正仿宋简体" w:cs="Times New Roman"/>
          <w:spacing w:val="0"/>
          <w:sz w:val="32"/>
          <w:szCs w:val="32"/>
          <w:lang w:eastAsia="zh-CN"/>
        </w:rPr>
      </w:pPr>
      <w:r>
        <w:rPr>
          <w:rFonts w:hint="eastAsia"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12</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22</w:t>
      </w:r>
      <w:r>
        <w:rPr>
          <w:rFonts w:hint="default" w:ascii="Times New Roman" w:hAnsi="Times New Roman" w:eastAsia="方正仿宋简体" w:cs="Times New Roman"/>
          <w:color w:val="auto"/>
          <w:sz w:val="32"/>
          <w:szCs w:val="32"/>
        </w:rPr>
        <w:t>日</w:t>
      </w: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12</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22</w:t>
      </w:r>
      <w:bookmarkStart w:id="0" w:name="_GoBack"/>
      <w:bookmarkEnd w:id="0"/>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4A74955"/>
    <w:rsid w:val="04FF67E0"/>
    <w:rsid w:val="066411AB"/>
    <w:rsid w:val="06C95E74"/>
    <w:rsid w:val="07EF4AC0"/>
    <w:rsid w:val="086C13ED"/>
    <w:rsid w:val="0B017DFC"/>
    <w:rsid w:val="0C7348F6"/>
    <w:rsid w:val="0E387F88"/>
    <w:rsid w:val="0EAA775B"/>
    <w:rsid w:val="10570D47"/>
    <w:rsid w:val="12554238"/>
    <w:rsid w:val="128D6F29"/>
    <w:rsid w:val="13AD6107"/>
    <w:rsid w:val="1481018F"/>
    <w:rsid w:val="174B4C0D"/>
    <w:rsid w:val="17AF6709"/>
    <w:rsid w:val="17F40652"/>
    <w:rsid w:val="18372E0F"/>
    <w:rsid w:val="18D97685"/>
    <w:rsid w:val="198A7200"/>
    <w:rsid w:val="1B902832"/>
    <w:rsid w:val="2166526B"/>
    <w:rsid w:val="21CB6A60"/>
    <w:rsid w:val="22E95C54"/>
    <w:rsid w:val="22EF397C"/>
    <w:rsid w:val="246401C0"/>
    <w:rsid w:val="25075681"/>
    <w:rsid w:val="273F223B"/>
    <w:rsid w:val="277B5530"/>
    <w:rsid w:val="27816B0B"/>
    <w:rsid w:val="27BC1E2E"/>
    <w:rsid w:val="2A304B67"/>
    <w:rsid w:val="2C5100B5"/>
    <w:rsid w:val="2DBB221D"/>
    <w:rsid w:val="2DFF0742"/>
    <w:rsid w:val="2E6260A8"/>
    <w:rsid w:val="2F6E616E"/>
    <w:rsid w:val="321A5103"/>
    <w:rsid w:val="32CE304A"/>
    <w:rsid w:val="34883D42"/>
    <w:rsid w:val="35C34C5F"/>
    <w:rsid w:val="37D63F30"/>
    <w:rsid w:val="38650D70"/>
    <w:rsid w:val="38CE0856"/>
    <w:rsid w:val="396B7181"/>
    <w:rsid w:val="3B3F2B14"/>
    <w:rsid w:val="3C5A502B"/>
    <w:rsid w:val="3E277305"/>
    <w:rsid w:val="3F3B789E"/>
    <w:rsid w:val="41A70ABB"/>
    <w:rsid w:val="422D71A3"/>
    <w:rsid w:val="4299329A"/>
    <w:rsid w:val="42C93271"/>
    <w:rsid w:val="42E661D8"/>
    <w:rsid w:val="430A0DBD"/>
    <w:rsid w:val="433419DE"/>
    <w:rsid w:val="43AC3FCE"/>
    <w:rsid w:val="468F7E6C"/>
    <w:rsid w:val="46D01556"/>
    <w:rsid w:val="46FA532E"/>
    <w:rsid w:val="47D171B3"/>
    <w:rsid w:val="49373F2E"/>
    <w:rsid w:val="4A1F3BCB"/>
    <w:rsid w:val="4AF9168F"/>
    <w:rsid w:val="4BFD01D9"/>
    <w:rsid w:val="4C8110D1"/>
    <w:rsid w:val="4E5936D6"/>
    <w:rsid w:val="51D77B6E"/>
    <w:rsid w:val="53C81961"/>
    <w:rsid w:val="5439514D"/>
    <w:rsid w:val="54425623"/>
    <w:rsid w:val="56AD03A4"/>
    <w:rsid w:val="56E82041"/>
    <w:rsid w:val="570E24A6"/>
    <w:rsid w:val="575A45BD"/>
    <w:rsid w:val="57970437"/>
    <w:rsid w:val="57D26084"/>
    <w:rsid w:val="589E65DF"/>
    <w:rsid w:val="5C8D6DEC"/>
    <w:rsid w:val="5E1C2537"/>
    <w:rsid w:val="60167BD9"/>
    <w:rsid w:val="63FC38AF"/>
    <w:rsid w:val="649D6655"/>
    <w:rsid w:val="668A1FF6"/>
    <w:rsid w:val="692B2656"/>
    <w:rsid w:val="6E984032"/>
    <w:rsid w:val="6EBB720B"/>
    <w:rsid w:val="729A5FFC"/>
    <w:rsid w:val="737C2208"/>
    <w:rsid w:val="742361AB"/>
    <w:rsid w:val="74AA6190"/>
    <w:rsid w:val="75E54F2E"/>
    <w:rsid w:val="7638738F"/>
    <w:rsid w:val="767370E1"/>
    <w:rsid w:val="78242888"/>
    <w:rsid w:val="795C4023"/>
    <w:rsid w:val="795F57FF"/>
    <w:rsid w:val="798448BF"/>
    <w:rsid w:val="7A1824C2"/>
    <w:rsid w:val="7AC52B10"/>
    <w:rsid w:val="7C3D10E8"/>
    <w:rsid w:val="7DE035E1"/>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9</TotalTime>
  <ScaleCrop>false</ScaleCrop>
  <LinksUpToDate>false</LinksUpToDate>
  <CharactersWithSpaces>1131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2020-12-23T03:36:18Z</cp:lastPrinted>
  <dcterms:modified xsi:type="dcterms:W3CDTF">2020-12-23T03:38:23Z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