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仿宋简体"/>
          <w:sz w:val="32"/>
          <w:szCs w:val="32"/>
        </w:rPr>
      </w:pPr>
    </w:p>
    <w:p>
      <w:pPr>
        <w:pStyle w:val="5"/>
        <w:spacing w:line="560" w:lineRule="exact"/>
        <w:jc w:val="center"/>
        <w:rPr>
          <w:rFonts w:ascii="Times New Roman" w:hAnsi="Times New Roman" w:eastAsia="方正仿宋简体"/>
          <w:sz w:val="32"/>
          <w:szCs w:val="32"/>
        </w:rPr>
      </w:pPr>
    </w:p>
    <w:p>
      <w:pPr>
        <w:pStyle w:val="5"/>
        <w:spacing w:line="560" w:lineRule="exact"/>
        <w:jc w:val="center"/>
        <w:rPr>
          <w:rFonts w:ascii="Times New Roman" w:hAnsi="Times New Roman" w:eastAsia="方正仿宋简体"/>
          <w:sz w:val="32"/>
          <w:szCs w:val="32"/>
        </w:rPr>
      </w:pPr>
    </w:p>
    <w:p>
      <w:pPr>
        <w:pStyle w:val="5"/>
        <w:spacing w:line="560" w:lineRule="exact"/>
        <w:jc w:val="center"/>
        <w:rPr>
          <w:rFonts w:ascii="Times New Roman" w:hAnsi="Times New Roman" w:eastAsiaTheme="majorEastAsia"/>
          <w:color w:val="FF0000"/>
          <w:sz w:val="56"/>
          <w:szCs w:val="56"/>
        </w:rPr>
      </w:pPr>
    </w:p>
    <w:p>
      <w:pPr>
        <w:pStyle w:val="5"/>
        <w:spacing w:line="560" w:lineRule="exact"/>
        <w:jc w:val="center"/>
        <w:rPr>
          <w:rFonts w:ascii="Times New Roman" w:hAnsi="Times New Roman" w:eastAsiaTheme="majorEastAsia"/>
          <w:color w:val="FF0000"/>
          <w:sz w:val="52"/>
          <w:szCs w:val="52"/>
        </w:rPr>
      </w:pPr>
    </w:p>
    <w:p>
      <w:pPr>
        <w:pStyle w:val="5"/>
        <w:spacing w:line="600" w:lineRule="exact"/>
        <w:jc w:val="center"/>
        <w:rPr>
          <w:rFonts w:ascii="Times New Roman" w:hAnsi="Times New Roman"/>
        </w:rPr>
      </w:pPr>
    </w:p>
    <w:p>
      <w:pPr>
        <w:spacing w:line="560" w:lineRule="exact"/>
        <w:jc w:val="center"/>
        <w:rPr>
          <w:rFonts w:eastAsia="方正仿宋简体"/>
          <w:sz w:val="32"/>
          <w:szCs w:val="32"/>
        </w:rPr>
      </w:pPr>
    </w:p>
    <w:p>
      <w:pPr>
        <w:spacing w:beforeLines="50" w:line="560" w:lineRule="exact"/>
        <w:jc w:val="center"/>
        <w:rPr>
          <w:rFonts w:eastAsia="方正仿宋简体"/>
          <w:sz w:val="32"/>
          <w:szCs w:val="32"/>
        </w:rPr>
      </w:pPr>
      <w:r>
        <w:rPr>
          <w:rFonts w:eastAsia="方正仿宋简体"/>
          <w:sz w:val="32"/>
          <w:szCs w:val="32"/>
        </w:rPr>
        <w:t>河高环审〔20</w:t>
      </w:r>
      <w:r>
        <w:rPr>
          <w:rFonts w:hint="eastAsia" w:eastAsia="方正仿宋简体"/>
          <w:sz w:val="32"/>
          <w:szCs w:val="32"/>
        </w:rPr>
        <w:t>20</w:t>
      </w:r>
      <w:r>
        <w:rPr>
          <w:rFonts w:eastAsia="方正仿宋简体"/>
          <w:sz w:val="32"/>
          <w:szCs w:val="32"/>
        </w:rPr>
        <w:t>〕</w:t>
      </w:r>
      <w:r>
        <w:rPr>
          <w:rFonts w:hint="eastAsia" w:eastAsia="方正仿宋简体"/>
          <w:sz w:val="32"/>
          <w:szCs w:val="32"/>
          <w:lang w:val="en-US" w:eastAsia="zh-CN"/>
        </w:rPr>
        <w:t>36</w:t>
      </w:r>
      <w:bookmarkStart w:id="0" w:name="_GoBack"/>
      <w:bookmarkEnd w:id="0"/>
      <w:r>
        <w:rPr>
          <w:rFonts w:eastAsia="方正仿宋简体"/>
          <w:sz w:val="32"/>
          <w:szCs w:val="32"/>
        </w:rPr>
        <w:t>号</w:t>
      </w:r>
    </w:p>
    <w:p>
      <w:pPr>
        <w:spacing w:line="640" w:lineRule="exact"/>
        <w:jc w:val="center"/>
        <w:rPr>
          <w:rFonts w:eastAsia="方正小标宋简体"/>
          <w:bCs/>
          <w:spacing w:val="-6"/>
          <w:sz w:val="44"/>
          <w:szCs w:val="44"/>
        </w:rPr>
      </w:pPr>
    </w:p>
    <w:p>
      <w:pPr>
        <w:snapToGrid w:val="0"/>
        <w:jc w:val="center"/>
        <w:rPr>
          <w:rFonts w:eastAsia="方正小标宋简体"/>
          <w:bCs/>
          <w:spacing w:val="-6"/>
          <w:sz w:val="44"/>
          <w:szCs w:val="44"/>
        </w:rPr>
      </w:pPr>
      <w:r>
        <w:rPr>
          <w:rFonts w:eastAsia="方正小标宋简体"/>
          <w:bCs/>
          <w:spacing w:val="-6"/>
          <w:sz w:val="44"/>
          <w:szCs w:val="44"/>
        </w:rPr>
        <w:t>关于</w:t>
      </w:r>
      <w:r>
        <w:rPr>
          <w:rFonts w:hint="eastAsia" w:eastAsia="方正小标宋简体"/>
          <w:bCs/>
          <w:spacing w:val="-6"/>
          <w:sz w:val="44"/>
          <w:szCs w:val="44"/>
        </w:rPr>
        <w:t>河源市东方硅源科技有限公司年产360万平方米光学玻璃建设项目环境影响报告表</w:t>
      </w:r>
      <w:r>
        <w:rPr>
          <w:rFonts w:eastAsia="方正小标宋简体"/>
          <w:bCs/>
          <w:spacing w:val="-6"/>
          <w:sz w:val="44"/>
          <w:szCs w:val="44"/>
        </w:rPr>
        <w:t>的批复</w:t>
      </w:r>
    </w:p>
    <w:p>
      <w:pPr>
        <w:rPr>
          <w:rFonts w:eastAsia="华文仿宋"/>
          <w:sz w:val="32"/>
          <w:szCs w:val="32"/>
        </w:rPr>
      </w:pPr>
    </w:p>
    <w:p>
      <w:pPr>
        <w:spacing w:line="600" w:lineRule="exact"/>
        <w:rPr>
          <w:rFonts w:eastAsia="方正仿宋简体"/>
          <w:sz w:val="32"/>
          <w:szCs w:val="32"/>
        </w:rPr>
      </w:pPr>
      <w:r>
        <w:rPr>
          <w:rFonts w:hint="eastAsia" w:eastAsia="方正仿宋简体"/>
          <w:sz w:val="32"/>
          <w:szCs w:val="32"/>
        </w:rPr>
        <w:t>河源市东方硅源科技有限公司</w:t>
      </w:r>
      <w:r>
        <w:rPr>
          <w:rFonts w:eastAsia="方正仿宋简体"/>
          <w:sz w:val="32"/>
          <w:szCs w:val="32"/>
        </w:rPr>
        <w:t>：</w:t>
      </w:r>
    </w:p>
    <w:p>
      <w:pPr>
        <w:spacing w:line="600" w:lineRule="exact"/>
        <w:ind w:firstLine="640" w:firstLineChars="200"/>
        <w:rPr>
          <w:rFonts w:eastAsia="方正仿宋简体"/>
          <w:sz w:val="32"/>
          <w:szCs w:val="32"/>
        </w:rPr>
      </w:pPr>
      <w:r>
        <w:rPr>
          <w:rFonts w:eastAsia="方正仿宋简体"/>
          <w:sz w:val="32"/>
          <w:szCs w:val="32"/>
        </w:rPr>
        <w:t>贵单位报送的《</w:t>
      </w:r>
      <w:r>
        <w:rPr>
          <w:rFonts w:hint="eastAsia" w:eastAsia="方正仿宋简体"/>
          <w:sz w:val="32"/>
          <w:szCs w:val="32"/>
        </w:rPr>
        <w:t>河源市东方硅源科技有限公司年产360万平方米光学玻璃建设项目</w:t>
      </w:r>
      <w:r>
        <w:rPr>
          <w:rFonts w:eastAsia="方正仿宋简体"/>
          <w:sz w:val="32"/>
          <w:szCs w:val="32"/>
        </w:rPr>
        <w:t>环境影响报告表》及报批函等材料收悉。经研究，批复如下：</w:t>
      </w:r>
    </w:p>
    <w:p>
      <w:pPr>
        <w:numPr>
          <w:ilvl w:val="0"/>
          <w:numId w:val="0"/>
        </w:numPr>
        <w:spacing w:line="600" w:lineRule="exact"/>
        <w:ind w:firstLine="640" w:firstLineChars="200"/>
        <w:rPr>
          <w:rFonts w:hint="eastAsia" w:eastAsia="方正仿宋简体"/>
          <w:sz w:val="32"/>
          <w:szCs w:val="32"/>
        </w:rPr>
      </w:pPr>
      <w:r>
        <w:rPr>
          <w:rFonts w:hint="eastAsia" w:eastAsia="方正仿宋简体"/>
          <w:sz w:val="32"/>
          <w:szCs w:val="32"/>
          <w:lang w:eastAsia="zh-CN"/>
        </w:rPr>
        <w:t>一、</w:t>
      </w:r>
      <w:r>
        <w:rPr>
          <w:rFonts w:hint="eastAsia" w:eastAsia="方正仿宋简体"/>
          <w:sz w:val="32"/>
          <w:szCs w:val="32"/>
        </w:rPr>
        <w:t>河源市东方硅源科技有限公司原址位于河源市源城区明珠工业园创业二路，项目于2019年8月委托</w:t>
      </w:r>
      <w:r>
        <w:rPr>
          <w:rFonts w:hint="eastAsia" w:eastAsia="方正仿宋简体"/>
          <w:sz w:val="32"/>
          <w:szCs w:val="32"/>
          <w:lang w:val="en-US" w:eastAsia="zh-CN"/>
        </w:rPr>
        <w:t>深圳市景泰荣环保科技有限公司</w:t>
      </w:r>
      <w:r>
        <w:rPr>
          <w:rFonts w:hint="eastAsia" w:eastAsia="方正仿宋简体"/>
          <w:sz w:val="32"/>
          <w:szCs w:val="32"/>
        </w:rPr>
        <w:t>编制《河源市东方硅源科技有限公司建设项目》，并于2019年11月6日取得河源市高新区行政审批局文件</w:t>
      </w:r>
      <w:r>
        <w:rPr>
          <w:rFonts w:hint="eastAsia" w:eastAsia="方正仿宋简体"/>
          <w:sz w:val="32"/>
          <w:szCs w:val="32"/>
          <w:lang w:eastAsia="zh-CN"/>
        </w:rPr>
        <w:t>（</w:t>
      </w:r>
      <w:r>
        <w:rPr>
          <w:rFonts w:hint="eastAsia" w:eastAsia="方正仿宋简体"/>
          <w:sz w:val="32"/>
          <w:szCs w:val="32"/>
        </w:rPr>
        <w:t>批复文号为：河高环审</w:t>
      </w:r>
      <w:r>
        <w:rPr>
          <w:rFonts w:hint="eastAsia" w:eastAsia="方正仿宋简体"/>
          <w:sz w:val="32"/>
          <w:szCs w:val="32"/>
          <w:lang w:val="en-US" w:eastAsia="zh-CN"/>
        </w:rPr>
        <w:t>[</w:t>
      </w:r>
      <w:r>
        <w:rPr>
          <w:rFonts w:hint="eastAsia" w:eastAsia="方正仿宋简体"/>
          <w:sz w:val="32"/>
          <w:szCs w:val="32"/>
        </w:rPr>
        <w:t>2019</w:t>
      </w:r>
      <w:r>
        <w:rPr>
          <w:rFonts w:hint="eastAsia" w:eastAsia="方正仿宋简体"/>
          <w:sz w:val="32"/>
          <w:szCs w:val="32"/>
          <w:lang w:val="en-US" w:eastAsia="zh-CN"/>
        </w:rPr>
        <w:t>]</w:t>
      </w:r>
      <w:r>
        <w:rPr>
          <w:rFonts w:hint="eastAsia" w:eastAsia="方正仿宋简体"/>
          <w:sz w:val="32"/>
          <w:szCs w:val="32"/>
        </w:rPr>
        <w:t>23号</w:t>
      </w:r>
      <w:r>
        <w:rPr>
          <w:rFonts w:hint="eastAsia" w:eastAsia="方正仿宋简体"/>
          <w:sz w:val="32"/>
          <w:szCs w:val="32"/>
          <w:lang w:eastAsia="zh-CN"/>
        </w:rPr>
        <w:t>）</w:t>
      </w:r>
      <w:r>
        <w:rPr>
          <w:rFonts w:hint="eastAsia" w:eastAsia="方正仿宋简体"/>
          <w:sz w:val="32"/>
          <w:szCs w:val="32"/>
        </w:rPr>
        <w:t>。现由于生产用地到期，河源市东方硅源科技有限公司拟在河源市高新区和谐路西边、规划路北边重新选址新建“河源市东方硅源科技有限公司年产360万平方米光学玻璃建设项目”，新建厂房生产，原有的河源市源城区明珠工业园创业二路的厂房及相关的生产设备一并搬迁至新建厂房生产。</w:t>
      </w:r>
    </w:p>
    <w:p>
      <w:pPr>
        <w:numPr>
          <w:ilvl w:val="0"/>
          <w:numId w:val="0"/>
        </w:numPr>
        <w:spacing w:line="600" w:lineRule="exact"/>
        <w:ind w:firstLine="640" w:firstLineChars="200"/>
        <w:rPr>
          <w:rFonts w:hint="eastAsia" w:eastAsia="方正仿宋简体"/>
          <w:sz w:val="32"/>
          <w:szCs w:val="32"/>
        </w:rPr>
      </w:pPr>
      <w:r>
        <w:rPr>
          <w:rFonts w:hint="eastAsia" w:eastAsia="方正仿宋简体"/>
          <w:sz w:val="32"/>
          <w:szCs w:val="32"/>
        </w:rPr>
        <w:t>项目总投资5000万元，总占地面积28521.38m</w:t>
      </w:r>
      <w:r>
        <w:rPr>
          <w:rFonts w:hint="eastAsia" w:eastAsia="方正仿宋简体"/>
          <w:sz w:val="32"/>
          <w:szCs w:val="32"/>
          <w:vertAlign w:val="superscript"/>
        </w:rPr>
        <w:t>2</w:t>
      </w:r>
      <w:r>
        <w:rPr>
          <w:rFonts w:hint="eastAsia" w:eastAsia="方正仿宋简体"/>
          <w:sz w:val="32"/>
          <w:szCs w:val="32"/>
        </w:rPr>
        <w:t>，总建筑面积33863.56m</w:t>
      </w:r>
      <w:r>
        <w:rPr>
          <w:rFonts w:hint="eastAsia" w:eastAsia="方正仿宋简体"/>
          <w:sz w:val="32"/>
          <w:szCs w:val="32"/>
          <w:vertAlign w:val="superscript"/>
        </w:rPr>
        <w:t>2</w:t>
      </w:r>
      <w:r>
        <w:rPr>
          <w:rFonts w:hint="eastAsia" w:eastAsia="方正仿宋简体"/>
          <w:sz w:val="32"/>
          <w:szCs w:val="32"/>
        </w:rPr>
        <w:t>，年产360万m</w:t>
      </w:r>
      <w:r>
        <w:rPr>
          <w:rFonts w:hint="eastAsia" w:eastAsia="方正仿宋简体"/>
          <w:sz w:val="32"/>
          <w:szCs w:val="32"/>
          <w:vertAlign w:val="superscript"/>
        </w:rPr>
        <w:t>2</w:t>
      </w:r>
      <w:r>
        <w:rPr>
          <w:rFonts w:hint="eastAsia" w:eastAsia="方正仿宋简体"/>
          <w:sz w:val="32"/>
          <w:szCs w:val="32"/>
        </w:rPr>
        <w:t>光学玻璃。项目</w:t>
      </w:r>
      <w:r>
        <w:rPr>
          <w:rFonts w:hint="eastAsia" w:eastAsia="方正仿宋简体"/>
          <w:sz w:val="32"/>
          <w:szCs w:val="32"/>
          <w:lang w:eastAsia="zh-CN"/>
        </w:rPr>
        <w:t>定员</w:t>
      </w:r>
      <w:r>
        <w:rPr>
          <w:rFonts w:hint="eastAsia" w:eastAsia="方正仿宋简体"/>
          <w:sz w:val="32"/>
          <w:szCs w:val="32"/>
        </w:rPr>
        <w:t>200人，</w:t>
      </w:r>
      <w:r>
        <w:rPr>
          <w:rFonts w:hint="eastAsia" w:eastAsia="方正仿宋简体"/>
          <w:sz w:val="32"/>
          <w:szCs w:val="32"/>
          <w:lang w:eastAsia="zh-CN"/>
        </w:rPr>
        <w:t>均在厂内食宿，</w:t>
      </w:r>
      <w:r>
        <w:rPr>
          <w:rFonts w:hint="eastAsia" w:eastAsia="方正仿宋简体"/>
          <w:sz w:val="32"/>
          <w:szCs w:val="32"/>
        </w:rPr>
        <w:t>年工作300天，实行两班制，每班8小时。</w:t>
      </w:r>
    </w:p>
    <w:p>
      <w:pPr>
        <w:numPr>
          <w:ilvl w:val="0"/>
          <w:numId w:val="0"/>
        </w:numPr>
        <w:spacing w:line="600" w:lineRule="exact"/>
        <w:ind w:firstLine="640" w:firstLineChars="200"/>
        <w:rPr>
          <w:rFonts w:eastAsia="方正仿宋简体"/>
          <w:sz w:val="32"/>
          <w:szCs w:val="32"/>
        </w:rPr>
      </w:pPr>
      <w:r>
        <w:rPr>
          <w:rFonts w:eastAsia="方正仿宋简体"/>
          <w:sz w:val="32"/>
          <w:szCs w:val="32"/>
        </w:rPr>
        <w:t>根据该项目环境影响报告表评价结论和</w:t>
      </w:r>
      <w:r>
        <w:rPr>
          <w:rFonts w:hint="eastAsia" w:ascii="ti" w:eastAsia="仿宋"/>
          <w:sz w:val="32"/>
          <w:szCs w:val="32"/>
        </w:rPr>
        <w:t>广东环境保护职业技术学校</w:t>
      </w:r>
      <w:r>
        <w:rPr>
          <w:rFonts w:eastAsia="方正仿宋简体"/>
          <w:sz w:val="32"/>
          <w:szCs w:val="32"/>
        </w:rPr>
        <w:t>技术评估意见，在落实各项污染防治措施、确保污染物排放稳定达标及符合总量控制的前提下，项目按照报告表中所列的性质、规模、地点建设，从环境保护角度可行。</w:t>
      </w:r>
    </w:p>
    <w:p>
      <w:pPr>
        <w:numPr>
          <w:ilvl w:val="0"/>
          <w:numId w:val="0"/>
        </w:numPr>
        <w:spacing w:line="600" w:lineRule="exact"/>
        <w:ind w:firstLine="640" w:firstLineChars="200"/>
        <w:rPr>
          <w:rFonts w:eastAsia="方正仿宋简体"/>
          <w:sz w:val="32"/>
          <w:szCs w:val="32"/>
        </w:rPr>
      </w:pPr>
      <w:r>
        <w:rPr>
          <w:rFonts w:hint="eastAsia" w:eastAsia="方正仿宋简体"/>
          <w:sz w:val="32"/>
          <w:szCs w:val="32"/>
          <w:lang w:eastAsia="zh-CN"/>
        </w:rPr>
        <w:t>二、</w:t>
      </w:r>
      <w:r>
        <w:rPr>
          <w:rFonts w:eastAsia="方正仿宋简体"/>
          <w:sz w:val="32"/>
          <w:szCs w:val="32"/>
        </w:rPr>
        <w:t>项目建设及运营期间，重点做好以下环保工作：</w:t>
      </w:r>
    </w:p>
    <w:p>
      <w:pPr>
        <w:numPr>
          <w:ilvl w:val="0"/>
          <w:numId w:val="1"/>
        </w:numPr>
        <w:spacing w:line="600" w:lineRule="exact"/>
        <w:ind w:left="0" w:leftChars="0" w:firstLine="640" w:firstLineChars="200"/>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做好</w:t>
      </w:r>
      <w:r>
        <w:rPr>
          <w:rFonts w:hint="default" w:ascii="Times New Roman" w:hAnsi="Times New Roman" w:eastAsia="方正仿宋简体" w:cs="Times New Roman"/>
          <w:sz w:val="32"/>
          <w:szCs w:val="32"/>
          <w:lang w:eastAsia="zh-CN"/>
        </w:rPr>
        <w:t>水污染防治工作。</w:t>
      </w:r>
      <w:r>
        <w:rPr>
          <w:rFonts w:hint="default" w:ascii="Times New Roman" w:hAnsi="Times New Roman" w:eastAsia="方正仿宋简体" w:cs="Times New Roman"/>
          <w:sz w:val="32"/>
          <w:szCs w:val="32"/>
        </w:rPr>
        <w:t>严格执行“雨污分流”制度，</w:t>
      </w:r>
      <w:r>
        <w:rPr>
          <w:rFonts w:hint="eastAsia" w:ascii="Times New Roman" w:hAnsi="Times New Roman" w:eastAsia="方正仿宋简体" w:cs="Times New Roman"/>
          <w:sz w:val="32"/>
          <w:szCs w:val="32"/>
          <w:lang w:eastAsia="zh-CN"/>
        </w:rPr>
        <w:t>雨水排入市政雨水管道；</w:t>
      </w:r>
      <w:r>
        <w:rPr>
          <w:rFonts w:hint="eastAsia" w:eastAsia="方正仿宋简体" w:cs="Times New Roman"/>
          <w:sz w:val="32"/>
          <w:szCs w:val="32"/>
          <w:lang w:eastAsia="zh-CN"/>
        </w:rPr>
        <w:t>清洗废水经自建污水处理设施处理后，</w:t>
      </w:r>
      <w:r>
        <w:rPr>
          <w:rFonts w:hint="eastAsia" w:eastAsia="方正仿宋简体" w:cs="Times New Roman"/>
          <w:sz w:val="32"/>
          <w:szCs w:val="32"/>
          <w:lang w:val="en-US" w:eastAsia="zh-CN"/>
        </w:rPr>
        <w:t>70%</w:t>
      </w:r>
      <w:r>
        <w:rPr>
          <w:rFonts w:hint="eastAsia" w:ascii="Times New Roman" w:hAnsi="Times New Roman" w:eastAsia="方正仿宋简体" w:cs="Times New Roman"/>
          <w:sz w:val="32"/>
          <w:szCs w:val="32"/>
          <w:lang w:eastAsia="zh-CN"/>
        </w:rPr>
        <w:t>回用于清洗工序，</w:t>
      </w:r>
      <w:r>
        <w:rPr>
          <w:rFonts w:hint="eastAsia" w:eastAsia="方正仿宋简体" w:cs="Times New Roman"/>
          <w:sz w:val="32"/>
          <w:szCs w:val="32"/>
          <w:lang w:eastAsia="zh-CN"/>
        </w:rPr>
        <w:t>其余</w:t>
      </w:r>
      <w:r>
        <w:rPr>
          <w:rFonts w:hint="eastAsia" w:ascii="Times New Roman" w:hAnsi="Times New Roman" w:eastAsia="方正仿宋简体" w:cs="Times New Roman"/>
          <w:sz w:val="32"/>
          <w:szCs w:val="32"/>
          <w:lang w:eastAsia="zh-CN"/>
        </w:rPr>
        <w:t>废浓水经收集后定期交有资质的公司回收处理</w:t>
      </w:r>
      <w:r>
        <w:rPr>
          <w:rFonts w:hint="eastAsia" w:eastAsia="方正仿宋简体" w:cs="Times New Roman"/>
          <w:sz w:val="32"/>
          <w:szCs w:val="32"/>
          <w:lang w:eastAsia="zh-CN"/>
        </w:rPr>
        <w:t>；</w:t>
      </w:r>
      <w:r>
        <w:rPr>
          <w:rFonts w:hint="eastAsia" w:ascii="Times New Roman" w:hAnsi="Times New Roman" w:eastAsia="方正仿宋简体" w:cs="Times New Roman"/>
          <w:sz w:val="32"/>
          <w:szCs w:val="32"/>
          <w:lang w:eastAsia="zh-CN"/>
        </w:rPr>
        <w:t>磨边废水经沉淀处理后回用于磨边工序；制纯水过程产生的浓水作为清净下水排入市政雨水管网；生活污水经三级化粪池预处理达到广东省《水污染物排放限值》（DB44/26-2001）第二时段三级标准后排入市政污水管网，最终进入</w:t>
      </w:r>
      <w:r>
        <w:rPr>
          <w:rFonts w:hint="eastAsia" w:eastAsia="方正仿宋简体" w:cs="Times New Roman"/>
          <w:sz w:val="32"/>
          <w:szCs w:val="32"/>
          <w:lang w:eastAsia="zh-CN"/>
        </w:rPr>
        <w:t>园区</w:t>
      </w:r>
      <w:r>
        <w:rPr>
          <w:rFonts w:hint="eastAsia" w:ascii="Times New Roman" w:hAnsi="Times New Roman" w:eastAsia="方正仿宋简体" w:cs="Times New Roman"/>
          <w:sz w:val="32"/>
          <w:szCs w:val="32"/>
          <w:lang w:eastAsia="zh-CN"/>
        </w:rPr>
        <w:t>污水处理厂集中处理。</w:t>
      </w:r>
    </w:p>
    <w:p>
      <w:pPr>
        <w:numPr>
          <w:ilvl w:val="0"/>
          <w:numId w:val="1"/>
        </w:numPr>
        <w:spacing w:line="600" w:lineRule="exact"/>
        <w:ind w:left="0" w:leftChars="0"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做好大气污染防治工作</w:t>
      </w:r>
      <w:r>
        <w:rPr>
          <w:rFonts w:hint="eastAsia" w:ascii="Times New Roman" w:hAnsi="Times New Roman" w:eastAsia="方正仿宋简体" w:cs="Times New Roman"/>
          <w:sz w:val="32"/>
          <w:szCs w:val="32"/>
          <w:lang w:eastAsia="zh-CN"/>
        </w:rPr>
        <w:t>。印刷、烘烤工序产生的有机废气经收集处理达标后按规范高空排放，</w:t>
      </w:r>
      <w:r>
        <w:rPr>
          <w:rFonts w:hint="eastAsia" w:ascii="Times New Roman" w:hAnsi="Times New Roman" w:eastAsia="方正仿宋简体" w:cs="Times New Roman"/>
          <w:sz w:val="32"/>
          <w:szCs w:val="32"/>
          <w:lang w:val="en-US" w:eastAsia="zh-CN"/>
        </w:rPr>
        <w:t>VOC</w:t>
      </w:r>
      <w:r>
        <w:rPr>
          <w:rFonts w:hint="eastAsia" w:ascii="Times New Roman" w:hAnsi="Times New Roman" w:eastAsia="方正仿宋简体" w:cs="Times New Roman"/>
          <w:sz w:val="32"/>
          <w:szCs w:val="32"/>
          <w:vertAlign w:val="subscript"/>
          <w:lang w:val="en-US" w:eastAsia="zh-CN"/>
        </w:rPr>
        <w:t>s</w:t>
      </w:r>
      <w:r>
        <w:rPr>
          <w:rFonts w:hint="eastAsia" w:ascii="Times New Roman" w:hAnsi="Times New Roman" w:eastAsia="方正仿宋简体" w:cs="Times New Roman"/>
          <w:sz w:val="32"/>
          <w:szCs w:val="32"/>
          <w:lang w:eastAsia="zh-CN"/>
        </w:rPr>
        <w:t>排放执行广东省《印刷行业挥发性有机化合物排放标准》（DB44/815-2010）丝网印刷第II时段标准及无组织排放监控浓度限值；厨房油烟经高效油烟净化器处理后引至楼顶高空排放，油烟废气执行《饮食业油烟排放标准》（试行）（GB18483-2001）的标准要求。</w:t>
      </w:r>
    </w:p>
    <w:p>
      <w:pPr>
        <w:numPr>
          <w:ilvl w:val="0"/>
          <w:numId w:val="0"/>
        </w:numPr>
        <w:spacing w:line="600" w:lineRule="exact"/>
        <w:ind w:firstLine="640" w:firstLineChars="200"/>
        <w:rPr>
          <w:rFonts w:eastAsia="方正仿宋简体"/>
          <w:sz w:val="32"/>
          <w:szCs w:val="32"/>
        </w:rPr>
      </w:pPr>
      <w:r>
        <w:rPr>
          <w:rFonts w:eastAsia="方正仿宋简体"/>
          <w:sz w:val="32"/>
          <w:szCs w:val="32"/>
        </w:rPr>
        <w:t>（三）做好噪声污染防治工作。合理布局机械设备，采取有效的隔声、消声等措施降低噪声对周围环境的影响。项目边界噪声排放执行《工业企业厂界环境噪声排放标准》（GB12348-2008）3类标准。</w:t>
      </w:r>
    </w:p>
    <w:p>
      <w:pPr>
        <w:spacing w:line="600" w:lineRule="exact"/>
        <w:ind w:firstLine="640" w:firstLineChars="200"/>
        <w:rPr>
          <w:rFonts w:hint="eastAsia" w:eastAsia="方正仿宋简体"/>
          <w:sz w:val="32"/>
          <w:szCs w:val="32"/>
        </w:rPr>
      </w:pPr>
      <w:r>
        <w:rPr>
          <w:rFonts w:eastAsia="方正仿宋简体"/>
          <w:sz w:val="32"/>
          <w:szCs w:val="32"/>
        </w:rPr>
        <w:t>（四）</w:t>
      </w:r>
      <w:r>
        <w:rPr>
          <w:rFonts w:hint="eastAsia" w:eastAsia="方正仿宋简体"/>
          <w:sz w:val="32"/>
          <w:szCs w:val="32"/>
        </w:rPr>
        <w:t>做好固体废物的分类收集和综合利用工作，防止造成二次污染。危险废物应按规范要求处理处置，其在厂内暂存应符合《危险废物贮存污染控制标准》（GB18579-2001）；一般固体废弃物应综合利用或妥善处置，其在厂内暂存应符合《一般工业固体废物贮存、处置场污染控制标准》（GB18599-2001）；生活垃圾统一收集后交由环卫部门清运。</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rPr>
        <w:t>（五）做好施工期环境保护工作。按要求落实施工期废水、废气、扬尘、噪声、固体废物等污染防治措施。</w:t>
      </w:r>
    </w:p>
    <w:p>
      <w:pPr>
        <w:spacing w:line="600" w:lineRule="exact"/>
        <w:ind w:firstLine="640" w:firstLineChars="200"/>
        <w:rPr>
          <w:rFonts w:eastAsia="方正仿宋简体"/>
          <w:sz w:val="32"/>
          <w:szCs w:val="32"/>
        </w:rPr>
      </w:pPr>
      <w:r>
        <w:rPr>
          <w:rFonts w:hint="eastAsia" w:eastAsia="方正仿宋简体"/>
          <w:sz w:val="32"/>
          <w:szCs w:val="32"/>
          <w:lang w:eastAsia="zh-CN"/>
        </w:rPr>
        <w:t>三</w:t>
      </w:r>
      <w:r>
        <w:rPr>
          <w:rFonts w:eastAsia="方正仿宋简体"/>
          <w:sz w:val="32"/>
          <w:szCs w:val="32"/>
        </w:rPr>
        <w:t>、</w:t>
      </w:r>
      <w:r>
        <w:rPr>
          <w:rFonts w:hint="eastAsia" w:ascii="Times New Roman" w:hAnsi="Times New Roman" w:eastAsia="方正仿宋简体"/>
          <w:sz w:val="32"/>
          <w:szCs w:val="32"/>
        </w:rPr>
        <w:t>做好环境事故风险防范工作。制定突发环境事件应急预案</w:t>
      </w:r>
      <w:r>
        <w:rPr>
          <w:rFonts w:hint="eastAsia" w:eastAsia="方正仿宋简体"/>
          <w:sz w:val="32"/>
          <w:szCs w:val="32"/>
        </w:rPr>
        <w:t>，落实有效的环境事故风险防范和应急措施，确保环境安全。</w:t>
      </w:r>
    </w:p>
    <w:p>
      <w:pPr>
        <w:spacing w:line="600" w:lineRule="exact"/>
        <w:ind w:firstLine="640" w:firstLineChars="200"/>
        <w:rPr>
          <w:rFonts w:eastAsia="方正仿宋简体"/>
          <w:sz w:val="32"/>
          <w:szCs w:val="32"/>
        </w:rPr>
      </w:pPr>
      <w:r>
        <w:rPr>
          <w:rFonts w:hint="eastAsia" w:eastAsia="方正仿宋简体"/>
          <w:sz w:val="32"/>
          <w:szCs w:val="32"/>
          <w:lang w:eastAsia="zh-CN"/>
        </w:rPr>
        <w:t>四</w:t>
      </w:r>
      <w:r>
        <w:rPr>
          <w:rFonts w:eastAsia="方正仿宋简体"/>
          <w:sz w:val="32"/>
          <w:szCs w:val="32"/>
        </w:rPr>
        <w:t>、报告表经批准后，项目的性质、规模、地点、采用的生产工艺或者防治污染设施、防止生态破坏的措施发生重大变动的，建设单位应重新报批项目的环境影响评价文件。</w:t>
      </w:r>
    </w:p>
    <w:p>
      <w:pPr>
        <w:spacing w:line="600" w:lineRule="exact"/>
        <w:ind w:firstLine="640" w:firstLineChars="200"/>
        <w:rPr>
          <w:rFonts w:eastAsia="方正仿宋简体"/>
          <w:sz w:val="32"/>
          <w:szCs w:val="32"/>
        </w:rPr>
      </w:pPr>
      <w:r>
        <w:rPr>
          <w:rFonts w:hint="eastAsia" w:eastAsia="方正仿宋简体"/>
          <w:sz w:val="32"/>
          <w:szCs w:val="32"/>
          <w:lang w:eastAsia="zh-CN"/>
        </w:rPr>
        <w:t>五</w:t>
      </w:r>
      <w:r>
        <w:rPr>
          <w:rFonts w:eastAsia="方正仿宋简体"/>
          <w:sz w:val="32"/>
          <w:szCs w:val="32"/>
        </w:rPr>
        <w:t>、建设项目应严格执行配套建设的环境保护设施与主体工程同时设计、同时施工、同时投产使用的环境保护“三同时”制度。</w:t>
      </w:r>
    </w:p>
    <w:p>
      <w:pPr>
        <w:spacing w:line="600" w:lineRule="exact"/>
        <w:ind w:firstLine="640" w:firstLineChars="200"/>
        <w:rPr>
          <w:rFonts w:eastAsia="方正仿宋简体"/>
          <w:sz w:val="32"/>
          <w:szCs w:val="32"/>
        </w:rPr>
      </w:pPr>
      <w:r>
        <w:rPr>
          <w:rFonts w:hint="eastAsia" w:eastAsia="方正仿宋简体"/>
          <w:sz w:val="32"/>
          <w:szCs w:val="32"/>
          <w:lang w:eastAsia="zh-CN"/>
        </w:rPr>
        <w:t>六</w:t>
      </w:r>
      <w:r>
        <w:rPr>
          <w:rFonts w:eastAsia="方正仿宋简体"/>
          <w:sz w:val="32"/>
          <w:szCs w:val="32"/>
        </w:rPr>
        <w:t>、项目建成后，请贵单位按有关规定开展项目竣工环境保护验收，并报我局备案。</w:t>
      </w:r>
    </w:p>
    <w:p>
      <w:pPr>
        <w:spacing w:line="600" w:lineRule="exact"/>
        <w:ind w:firstLine="640" w:firstLineChars="200"/>
        <w:rPr>
          <w:rFonts w:ascii="Times New Roman" w:hAnsi="Times New Roman" w:eastAsia="方正仿宋简体"/>
          <w:sz w:val="32"/>
          <w:szCs w:val="32"/>
        </w:rPr>
      </w:pPr>
      <w:r>
        <w:rPr>
          <w:rFonts w:eastAsia="方正仿宋简体"/>
          <w:sz w:val="32"/>
          <w:szCs w:val="32"/>
        </w:rPr>
        <w:t>此复。</w:t>
      </w: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spacing w:line="600" w:lineRule="exact"/>
        <w:rPr>
          <w:rFonts w:ascii="Times New Roman" w:hAnsi="Times New Roman" w:eastAsia="方正仿宋简体"/>
          <w:sz w:val="32"/>
          <w:szCs w:val="32"/>
        </w:rPr>
      </w:pPr>
      <w:r>
        <w:rPr>
          <w:rFonts w:ascii="Times New Roman" w:hAnsi="Times New Roman" w:eastAsia="方正仿宋简体"/>
          <w:sz w:val="32"/>
          <w:szCs w:val="32"/>
        </w:rPr>
        <w:t xml:space="preserve">                             </w:t>
      </w:r>
      <w:r>
        <w:rPr>
          <w:rFonts w:hint="eastAsia" w:ascii="Times New Roman" w:hAnsi="Times New Roman" w:eastAsia="方正仿宋简体"/>
          <w:sz w:val="32"/>
          <w:szCs w:val="32"/>
        </w:rPr>
        <w:t>河源市高新区管委会行政审批局</w:t>
      </w:r>
    </w:p>
    <w:p>
      <w:pPr>
        <w:spacing w:line="600" w:lineRule="exact"/>
        <w:ind w:firstLine="6240" w:firstLineChars="1950"/>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w:t>
      </w:r>
      <w:r>
        <w:rPr>
          <w:rFonts w:hint="eastAsia" w:eastAsia="方正仿宋简体"/>
          <w:sz w:val="32"/>
          <w:szCs w:val="32"/>
        </w:rPr>
        <w:t>10</w:t>
      </w:r>
      <w:r>
        <w:rPr>
          <w:rFonts w:eastAsia="方正仿宋简体"/>
          <w:sz w:val="32"/>
          <w:szCs w:val="32"/>
        </w:rPr>
        <w:t>月</w:t>
      </w:r>
      <w:r>
        <w:rPr>
          <w:rFonts w:hint="eastAsia" w:eastAsia="方正仿宋简体"/>
          <w:sz w:val="32"/>
          <w:szCs w:val="32"/>
          <w:lang w:val="en-US" w:eastAsia="zh-CN"/>
        </w:rPr>
        <w:t>30</w:t>
      </w:r>
      <w:r>
        <w:rPr>
          <w:rFonts w:eastAsia="方正仿宋简体"/>
          <w:sz w:val="32"/>
          <w:szCs w:val="32"/>
        </w:rPr>
        <w:t>日</w:t>
      </w: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spacing w:line="500" w:lineRule="exact"/>
        <w:rPr>
          <w:rFonts w:ascii="Times New Roman" w:hAnsi="Times New Roman" w:eastAsia="华文仿宋"/>
          <w:sz w:val="32"/>
          <w:szCs w:val="32"/>
        </w:rPr>
      </w:pPr>
      <w:r>
        <w:rPr>
          <w:rFonts w:ascii="Times New Roman" w:hAnsi="Times New Roman"/>
          <w:sz w:val="32"/>
        </w:rPr>
        <w:pict>
          <v:line id="直接连接符 1" o:spid="_x0000_s2050" o:spt="20" style="position:absolute;left:0pt;margin-left:0.8pt;margin-top:0.5pt;height:0pt;width:453.1pt;z-index:251671552;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ascii="Times New Roman" w:hAnsi="Times New Roman" w:eastAsia="华文仿宋"/>
          <w:sz w:val="32"/>
          <w:szCs w:val="32"/>
        </w:rPr>
        <w:t>送：市高新区管委会、市生态环境局</w:t>
      </w:r>
    </w:p>
    <w:p>
      <w:pPr>
        <w:pStyle w:val="5"/>
        <w:spacing w:line="500" w:lineRule="exact"/>
        <w:rPr>
          <w:rFonts w:ascii="Times New Roman" w:hAnsi="Times New Roman" w:eastAsia="华文仿宋"/>
          <w:sz w:val="32"/>
          <w:szCs w:val="32"/>
        </w:rPr>
      </w:pPr>
      <w:r>
        <w:rPr>
          <w:rFonts w:ascii="Times New Roman" w:hAnsi="Times New Roman" w:eastAsia="华文仿宋"/>
          <w:sz w:val="32"/>
          <w:szCs w:val="32"/>
        </w:rPr>
        <w:t>发：环境保护和城市管理局、综合执法局</w:t>
      </w:r>
    </w:p>
    <w:p>
      <w:pPr>
        <w:spacing w:line="560" w:lineRule="exact"/>
        <w:ind w:firstLine="640" w:firstLineChars="200"/>
        <w:jc w:val="left"/>
        <w:rPr>
          <w:rFonts w:eastAsia="方正仿宋简体"/>
          <w:sz w:val="32"/>
          <w:szCs w:val="32"/>
          <w:shd w:val="clear" w:color="auto" w:fill="FFFFFF"/>
        </w:rPr>
      </w:pPr>
      <w:r>
        <w:rPr>
          <w:sz w:val="32"/>
        </w:rPr>
        <w:pict>
          <v:line id="_x0000_s2051" o:spid="_x0000_s2051" o:spt="20" style="position:absolute;left:0pt;margin-left:1.6pt;margin-top:30.1pt;height:0pt;width:453.1pt;z-index:251700224;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sz w:val="32"/>
        </w:rPr>
        <w:pict>
          <v:line id="_x0000_s2052" o:spid="_x0000_s2052" o:spt="20" style="position:absolute;left:0pt;margin-left:0pt;margin-top:3.1pt;height:0pt;width:453.1pt;z-index:251685888;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eastAsia="华文仿宋"/>
          <w:sz w:val="32"/>
          <w:szCs w:val="32"/>
        </w:rPr>
        <w:t xml:space="preserve">市高新区行政审批局           </w:t>
      </w:r>
      <w:r>
        <w:rPr>
          <w:rFonts w:hint="eastAsia" w:eastAsia="华文仿宋"/>
          <w:sz w:val="32"/>
          <w:szCs w:val="32"/>
        </w:rPr>
        <w:t xml:space="preserve">  </w:t>
      </w:r>
      <w:r>
        <w:rPr>
          <w:rFonts w:eastAsia="方正仿宋简体"/>
          <w:sz w:val="32"/>
          <w:szCs w:val="32"/>
          <w:shd w:val="clear" w:color="auto" w:fill="FFFFFF"/>
        </w:rPr>
        <w:t xml:space="preserve"> 20</w:t>
      </w:r>
      <w:r>
        <w:rPr>
          <w:rFonts w:hint="eastAsia" w:eastAsia="方正仿宋简体"/>
          <w:sz w:val="32"/>
          <w:szCs w:val="32"/>
          <w:shd w:val="clear" w:color="auto" w:fill="FFFFFF"/>
        </w:rPr>
        <w:t>20</w:t>
      </w:r>
      <w:r>
        <w:rPr>
          <w:rFonts w:eastAsia="方正仿宋简体"/>
          <w:sz w:val="32"/>
          <w:szCs w:val="32"/>
          <w:shd w:val="clear" w:color="auto" w:fill="FFFFFF"/>
        </w:rPr>
        <w:t>年</w:t>
      </w:r>
      <w:r>
        <w:rPr>
          <w:rFonts w:hint="eastAsia" w:eastAsia="方正仿宋简体"/>
          <w:sz w:val="32"/>
          <w:szCs w:val="32"/>
          <w:shd w:val="clear" w:color="auto" w:fill="FFFFFF"/>
        </w:rPr>
        <w:t>10</w:t>
      </w:r>
      <w:r>
        <w:rPr>
          <w:rFonts w:eastAsia="方正仿宋简体"/>
          <w:sz w:val="32"/>
          <w:szCs w:val="32"/>
          <w:shd w:val="clear" w:color="auto" w:fill="FFFFFF"/>
        </w:rPr>
        <w:t>月</w:t>
      </w:r>
      <w:r>
        <w:rPr>
          <w:rFonts w:hint="eastAsia" w:eastAsia="方正仿宋简体"/>
          <w:sz w:val="32"/>
          <w:szCs w:val="32"/>
          <w:shd w:val="clear" w:color="auto" w:fill="FFFFFF"/>
          <w:lang w:val="en-US" w:eastAsia="zh-CN"/>
        </w:rPr>
        <w:t>30</w:t>
      </w:r>
      <w:r>
        <w:rPr>
          <w:rFonts w:eastAsia="方正仿宋简体"/>
          <w:sz w:val="32"/>
          <w:szCs w:val="32"/>
          <w:shd w:val="clear" w:color="auto" w:fill="FFFFFF"/>
        </w:rPr>
        <w:t>日印发</w:t>
      </w:r>
      <w:r>
        <w:rPr>
          <w:rFonts w:hint="eastAsia" w:eastAsia="方正仿宋简体"/>
          <w:sz w:val="32"/>
          <w:szCs w:val="32"/>
          <w:shd w:val="clear" w:color="auto" w:fill="FFFFFF"/>
        </w:rPr>
        <w:t xml:space="preserve"> </w:t>
      </w:r>
    </w:p>
    <w:p>
      <w:pPr>
        <w:pStyle w:val="5"/>
        <w:tabs>
          <w:tab w:val="right" w:pos="8844"/>
        </w:tabs>
        <w:spacing w:line="560" w:lineRule="exact"/>
        <w:ind w:firstLine="640" w:firstLineChars="200"/>
        <w:jc w:val="center"/>
        <w:rPr>
          <w:rFonts w:ascii="Times New Roman" w:hAnsi="Times New Roman"/>
          <w:sz w:val="32"/>
          <w:szCs w:val="32"/>
        </w:rPr>
      </w:pPr>
      <w:r>
        <w:rPr>
          <w:rFonts w:hint="eastAsia" w:ascii="Times New Roman" w:hAnsi="Times New Roman" w:eastAsia="方正仿宋简体"/>
          <w:sz w:val="32"/>
          <w:szCs w:val="32"/>
          <w:shd w:val="clear" w:color="auto" w:fill="FFFFFF"/>
        </w:rPr>
        <w:t xml:space="preserve">                             </w:t>
      </w:r>
      <w:r>
        <w:rPr>
          <w:rFonts w:ascii="Times New Roman" w:hAnsi="Times New Roman" w:eastAsia="方正仿宋简体"/>
          <w:sz w:val="32"/>
          <w:szCs w:val="32"/>
          <w:shd w:val="clear" w:color="auto" w:fill="FFFFFF"/>
        </w:rPr>
        <w:t>（共印</w:t>
      </w:r>
      <w:r>
        <w:rPr>
          <w:rFonts w:hint="eastAsia" w:ascii="Times New Roman" w:hAnsi="Times New Roman" w:eastAsia="方正仿宋简体"/>
          <w:sz w:val="32"/>
          <w:szCs w:val="32"/>
          <w:shd w:val="clear" w:color="auto" w:fill="FFFFFF"/>
        </w:rPr>
        <w:t>6</w:t>
      </w:r>
      <w:r>
        <w:rPr>
          <w:rFonts w:ascii="Times New Roman" w:hAnsi="Times New Roman" w:eastAsia="方正仿宋简体"/>
          <w:sz w:val="32"/>
          <w:szCs w:val="32"/>
          <w:shd w:val="clear" w:color="auto" w:fill="FFFFFF"/>
        </w:rPr>
        <w:t>份</w:t>
      </w:r>
      <w:r>
        <w:rPr>
          <w:rFonts w:hint="eastAsia" w:ascii="Times New Roman" w:hAnsi="Times New Roman" w:eastAsia="方正仿宋简体"/>
          <w:sz w:val="32"/>
          <w:szCs w:val="32"/>
          <w:shd w:val="clear" w:color="auto" w:fill="FFFFFF"/>
        </w:rPr>
        <w:t>，存档1份</w:t>
      </w:r>
      <w:r>
        <w:rPr>
          <w:rFonts w:ascii="Times New Roman" w:hAnsi="Times New Roman" w:eastAsia="方正仿宋简体"/>
          <w:sz w:val="32"/>
          <w:szCs w:val="32"/>
          <w:shd w:val="clear" w:color="auto" w:fill="FFFFFF"/>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i">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6CAE12"/>
    <w:multiLevelType w:val="singleLevel"/>
    <w:tmpl w:val="DB6CAE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3316F"/>
    <w:rsid w:val="002B412E"/>
    <w:rsid w:val="00302DEE"/>
    <w:rsid w:val="003C2645"/>
    <w:rsid w:val="003F57AF"/>
    <w:rsid w:val="00470AC4"/>
    <w:rsid w:val="00472DAD"/>
    <w:rsid w:val="005D4A8A"/>
    <w:rsid w:val="006B0FD2"/>
    <w:rsid w:val="00721E0F"/>
    <w:rsid w:val="0084471D"/>
    <w:rsid w:val="008560BE"/>
    <w:rsid w:val="008B010E"/>
    <w:rsid w:val="008F53DD"/>
    <w:rsid w:val="009A0599"/>
    <w:rsid w:val="00BA08DA"/>
    <w:rsid w:val="00BC5687"/>
    <w:rsid w:val="00CE6876"/>
    <w:rsid w:val="00DE7F36"/>
    <w:rsid w:val="00DF5386"/>
    <w:rsid w:val="0159530B"/>
    <w:rsid w:val="01E46EAB"/>
    <w:rsid w:val="03B269EB"/>
    <w:rsid w:val="06C95E74"/>
    <w:rsid w:val="07622397"/>
    <w:rsid w:val="07EF4AC0"/>
    <w:rsid w:val="086C13ED"/>
    <w:rsid w:val="0B017DFC"/>
    <w:rsid w:val="0C7348F6"/>
    <w:rsid w:val="0EAA775B"/>
    <w:rsid w:val="0FC00E29"/>
    <w:rsid w:val="128D6F29"/>
    <w:rsid w:val="13AD6107"/>
    <w:rsid w:val="174B4C0D"/>
    <w:rsid w:val="17AF6709"/>
    <w:rsid w:val="17F40652"/>
    <w:rsid w:val="18372E0F"/>
    <w:rsid w:val="18D97685"/>
    <w:rsid w:val="198A7200"/>
    <w:rsid w:val="1B902832"/>
    <w:rsid w:val="1E1259BA"/>
    <w:rsid w:val="2166526B"/>
    <w:rsid w:val="21CB6A60"/>
    <w:rsid w:val="22EF397C"/>
    <w:rsid w:val="246401C0"/>
    <w:rsid w:val="25C80578"/>
    <w:rsid w:val="273F223B"/>
    <w:rsid w:val="277B5530"/>
    <w:rsid w:val="278B0BCD"/>
    <w:rsid w:val="27BC1E2E"/>
    <w:rsid w:val="2A304B67"/>
    <w:rsid w:val="2C5100B5"/>
    <w:rsid w:val="2DBB221D"/>
    <w:rsid w:val="2E6260A8"/>
    <w:rsid w:val="2F6E616E"/>
    <w:rsid w:val="32CE304A"/>
    <w:rsid w:val="34883D42"/>
    <w:rsid w:val="35C34C5F"/>
    <w:rsid w:val="37D63F30"/>
    <w:rsid w:val="38650D70"/>
    <w:rsid w:val="38CE0856"/>
    <w:rsid w:val="396B7181"/>
    <w:rsid w:val="3B3F2B14"/>
    <w:rsid w:val="3E277305"/>
    <w:rsid w:val="3EC526CC"/>
    <w:rsid w:val="3F3B789E"/>
    <w:rsid w:val="417D70DC"/>
    <w:rsid w:val="41A70ABB"/>
    <w:rsid w:val="422D71A3"/>
    <w:rsid w:val="4299329A"/>
    <w:rsid w:val="42C93271"/>
    <w:rsid w:val="430A0DBD"/>
    <w:rsid w:val="433419DE"/>
    <w:rsid w:val="43AC3FCE"/>
    <w:rsid w:val="43DA1628"/>
    <w:rsid w:val="44867688"/>
    <w:rsid w:val="47D171B3"/>
    <w:rsid w:val="49373F2E"/>
    <w:rsid w:val="4A016248"/>
    <w:rsid w:val="4BFD01D9"/>
    <w:rsid w:val="4C8110D1"/>
    <w:rsid w:val="4E5936D6"/>
    <w:rsid w:val="50AD52FF"/>
    <w:rsid w:val="51D77B6E"/>
    <w:rsid w:val="52454661"/>
    <w:rsid w:val="53C81961"/>
    <w:rsid w:val="5439514D"/>
    <w:rsid w:val="55E236A8"/>
    <w:rsid w:val="560666EA"/>
    <w:rsid w:val="56AD03A4"/>
    <w:rsid w:val="57970437"/>
    <w:rsid w:val="5B9B2781"/>
    <w:rsid w:val="5C8D6DEC"/>
    <w:rsid w:val="5E1C2537"/>
    <w:rsid w:val="5F0E6112"/>
    <w:rsid w:val="60167BD9"/>
    <w:rsid w:val="60DF1477"/>
    <w:rsid w:val="61C34773"/>
    <w:rsid w:val="63FC38AF"/>
    <w:rsid w:val="649D6655"/>
    <w:rsid w:val="668A1FF6"/>
    <w:rsid w:val="68B1312C"/>
    <w:rsid w:val="692B2656"/>
    <w:rsid w:val="6D7427B9"/>
    <w:rsid w:val="6E984032"/>
    <w:rsid w:val="6EBB720B"/>
    <w:rsid w:val="6F5B03D7"/>
    <w:rsid w:val="72390BC5"/>
    <w:rsid w:val="729A5FFC"/>
    <w:rsid w:val="755C5F22"/>
    <w:rsid w:val="767370E1"/>
    <w:rsid w:val="795F57FF"/>
    <w:rsid w:val="798448BF"/>
    <w:rsid w:val="7A1824C2"/>
    <w:rsid w:val="7BA42888"/>
    <w:rsid w:val="7C3D10E8"/>
    <w:rsid w:val="7DE035E1"/>
    <w:rsid w:val="7E46141D"/>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pPr>
    <w:rPr>
      <w:rFonts w:hAnsi="Times New Roman" w:eastAsia="宋体" w:cs="宋体"/>
      <w:color w:val="000000"/>
      <w:sz w:val="24"/>
    </w:rPr>
  </w:style>
  <w:style w:type="paragraph" w:customStyle="1" w:styleId="3">
    <w:name w:val="纯文本1"/>
    <w:basedOn w:val="1"/>
    <w:qFormat/>
    <w:uiPriority w:val="0"/>
    <w:pPr>
      <w:adjustRightInd w:val="0"/>
      <w:textAlignment w:val="baseline"/>
    </w:pPr>
    <w:rPr>
      <w:rFonts w:ascii="宋体" w:hAnsi="Courier New"/>
    </w:rPr>
  </w:style>
  <w:style w:type="paragraph" w:styleId="4">
    <w:name w:val="List"/>
    <w:basedOn w:val="1"/>
    <w:next w:val="1"/>
    <w:unhideWhenUsed/>
    <w:qFormat/>
    <w:uiPriority w:val="0"/>
    <w:pPr>
      <w:ind w:left="200" w:hanging="200" w:hangingChars="200"/>
      <w:contextualSpacing/>
    </w:pPr>
  </w:style>
  <w:style w:type="paragraph" w:styleId="5">
    <w:name w:val="Plain Text"/>
    <w:basedOn w:val="1"/>
    <w:qFormat/>
    <w:uiPriority w:val="0"/>
    <w:rPr>
      <w:rFonts w:ascii="宋体" w:hAnsi="Courier New"/>
      <w:sz w:val="28"/>
      <w:szCs w:val="20"/>
    </w:rPr>
  </w:style>
  <w:style w:type="paragraph" w:styleId="6">
    <w:name w:val="Date"/>
    <w:basedOn w:val="1"/>
    <w:next w:val="1"/>
    <w:link w:val="14"/>
    <w:qFormat/>
    <w:uiPriority w:val="0"/>
    <w:pPr>
      <w:ind w:left="100" w:leftChars="2500"/>
    </w:p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Char"/>
    <w:basedOn w:val="10"/>
    <w:link w:val="8"/>
    <w:qFormat/>
    <w:uiPriority w:val="0"/>
    <w:rPr>
      <w:rFonts w:eastAsia="仿宋_GB2312"/>
      <w:kern w:val="2"/>
      <w:sz w:val="18"/>
      <w:szCs w:val="18"/>
    </w:rPr>
  </w:style>
  <w:style w:type="character" w:customStyle="1" w:styleId="13">
    <w:name w:val="页脚 Char"/>
    <w:basedOn w:val="10"/>
    <w:link w:val="7"/>
    <w:qFormat/>
    <w:uiPriority w:val="0"/>
    <w:rPr>
      <w:rFonts w:eastAsia="仿宋_GB2312"/>
      <w:kern w:val="2"/>
      <w:sz w:val="18"/>
      <w:szCs w:val="18"/>
    </w:rPr>
  </w:style>
  <w:style w:type="character" w:customStyle="1" w:styleId="14">
    <w:name w:val="日期 Char"/>
    <w:basedOn w:val="10"/>
    <w:link w:val="6"/>
    <w:qFormat/>
    <w:uiPriority w:val="0"/>
    <w:rPr>
      <w:rFonts w:eastAsia="仿宋_GB2312"/>
      <w:kern w:val="2"/>
      <w:sz w:val="30"/>
      <w:szCs w:val="24"/>
    </w:rPr>
  </w:style>
  <w:style w:type="paragraph" w:customStyle="1" w:styleId="15">
    <w:name w:val="Table Paragraph"/>
    <w:basedOn w:val="1"/>
    <w:qFormat/>
    <w:uiPriority w:val="1"/>
    <w:pPr>
      <w:jc w:val="left"/>
    </w:pPr>
    <w:rPr>
      <w:rFonts w:ascii="Calibri" w:hAnsi="Calibri" w:eastAsia="宋体"/>
      <w:kern w:val="0"/>
      <w:sz w:val="22"/>
      <w:szCs w:val="22"/>
      <w:lang w:eastAsia="en-US"/>
    </w:rPr>
  </w:style>
  <w:style w:type="paragraph" w:customStyle="1" w:styleId="16">
    <w:name w:val="技术评估意见正文"/>
    <w:basedOn w:val="17"/>
    <w:qFormat/>
    <w:uiPriority w:val="0"/>
    <w:pPr>
      <w:jc w:val="both"/>
    </w:pPr>
    <w:rPr>
      <w:rFonts w:hAnsi="宋体" w:eastAsia="仿宋_GB2312"/>
      <w:color w:val="auto"/>
      <w:kern w:val="0"/>
      <w:sz w:val="32"/>
      <w:szCs w:val="32"/>
    </w:rPr>
  </w:style>
  <w:style w:type="paragraph" w:customStyle="1" w:styleId="17">
    <w:name w:val="评估意见正文文字"/>
    <w:basedOn w:val="1"/>
    <w:qFormat/>
    <w:uiPriority w:val="0"/>
    <w:pPr>
      <w:ind w:firstLine="640" w:firstLineChars="200"/>
      <w:jc w:val="left"/>
    </w:pPr>
    <w:rPr>
      <w:rFonts w:eastAsia="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Pages>
  <Words>224</Words>
  <Characters>1278</Characters>
  <Lines>10</Lines>
  <Paragraphs>2</Paragraphs>
  <TotalTime>6</TotalTime>
  <ScaleCrop>false</ScaleCrop>
  <LinksUpToDate>false</LinksUpToDate>
  <CharactersWithSpaces>1500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2020-10-29T07:37:00Z</cp:lastPrinted>
  <dcterms:modified xsi:type="dcterms:W3CDTF">2020-10-29T07:59:48Z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