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6"/>
          <w:szCs w:val="56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2"/>
          <w:szCs w:val="5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spacing w:val="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河高环审〔20</w:t>
      </w:r>
      <w:r>
        <w:rPr>
          <w:rFonts w:hint="eastAsia" w:eastAsia="方正仿宋简体" w:cs="Times New Roman"/>
          <w:b w:val="0"/>
          <w:bCs w:val="0"/>
          <w:spacing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〕</w:t>
      </w:r>
      <w:r>
        <w:rPr>
          <w:rFonts w:hint="eastAsia" w:eastAsia="方正仿宋简体" w:cs="Times New Roman"/>
          <w:b w:val="0"/>
          <w:bCs w:val="0"/>
          <w:spacing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  <w:lang w:eastAsia="zh-CN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关于</w:t>
      </w:r>
      <w:r>
        <w:rPr>
          <w:rFonts w:hint="eastAsia" w:ascii="ti" w:hAnsi="ti" w:eastAsia="方正小标宋简体" w:cs="Times New Roman"/>
          <w:sz w:val="44"/>
          <w:szCs w:val="44"/>
        </w:rPr>
        <w:t>河源市誉隆建材有限公司年产80万吨机制砂建设项目</w:t>
      </w:r>
      <w:r>
        <w:rPr>
          <w:rFonts w:hint="eastAsia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环境影响报告表</w:t>
      </w: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的批复</w:t>
      </w: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河源市誉隆建材有限公司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贵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单位报送的《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河源市誉隆建材有限公司年产80万吨机制砂建设项目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环境影响报告表》及报批函等材料收悉。经研究，批复如下：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河源市誉隆建材有限公司位于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河源市源城区源南镇榄坝村白田河南面地段华嘉工业区内，占地面积30000m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vertAlign w:val="superscript"/>
        </w:rPr>
        <w:t>2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，建筑面积5200m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vertAlign w:val="superscript"/>
        </w:rPr>
        <w:t>2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，项目总投资1000万元，主要包括破碎车间、筛分车间、环保车间、成品堆场、原料堆场以及办公宿舍楼等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项目建成后年产80万吨机制砂。本项目员工总数约为10人，年工作300天，每天工作10小时。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根据该项目环境影响报告表评价结论和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河源职业技术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学院技术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评估意见，在落实各项污染防治措施、确保污染物排放稳定达标的前提下，项目按照报告表中所列的性质、规模、地点建设，从环境保护角度可行。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18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、项目建设及运营期间，重点做好以下环保工作：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（一）做好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水污染防治工作。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初期雨水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通过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雨水管道和厂区四周截排水沟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进行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收集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，经沉淀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处理后回用于生产，不外排；生产废水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通过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污水管道收集后进入集水池，经浓缩罐处理后回用于生产，不外排；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生活污水经预处理达到《农田灌溉水质标准》（GB5048-2005）的旱作标准后用于周边作物浇灌。初期雨水和生产废水执行《城市污水再生利用 工业用水水质》（GB/T 19923-2005）中工艺与产品用水标准。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（二）做好大气污染防治工作。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项目生产车间四周建立围墙，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破碎、筛分区四周设置围蔽板房和顶棚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进料口设置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喷头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进行喷水降尘，输送带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进行加盖围蔽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处理，原料堆场、产品堆场四周建立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围挡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设置半密闭堆放，道路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需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硬底化，全厂设置雾炮降尘，同时加强堆场和道路洒水降尘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油烟废气经油烟净化器处理后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由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专用烟道引至楼顶排放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颗粒物排放执行广东省《大气污染物排放限值》（DB44/27-2001）第二时段无组织排放监控浓度限值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油烟废气排放执行《饮食业油烟排放标准》（试行）（GB18483-2001）排放标准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（三）做好噪声污染防治工作。合理布局机械设备，采取有效的隔声、消声等措施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降低噪声对周围环境的影响。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项目边界噪声排放执行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《工业企业厂界环境噪声排放标准》（GB12348-2008）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类、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类标准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kern w:val="2"/>
          <w:sz w:val="32"/>
          <w:szCs w:val="20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（四）做好固体废物的分类收集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综合利用工作，防止造成二次污染。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危险废物应按规范要求处理处置，其在厂内暂存应符合《危险废物贮存污染控制</w:t>
      </w:r>
      <w:r>
        <w:rPr>
          <w:rFonts w:hint="eastAsia" w:ascii="Times New Roman" w:hAnsi="Times New Roman" w:eastAsia="方正仿宋简体" w:cs="Times New Roman"/>
          <w:spacing w:val="0"/>
          <w:kern w:val="2"/>
          <w:sz w:val="32"/>
          <w:szCs w:val="20"/>
          <w:lang w:val="en-US" w:eastAsia="zh-CN" w:bidi="ar-SA"/>
        </w:rPr>
        <w:t>标准》（GB18579-2001）；一般固体废物应综合利用或妥善处置，其在厂内暂存应符合《一般工业固体废物贮存、处置场污染控制标准》（GB18599-2001）；生活垃圾统一收集后由环卫部门清运。</w:t>
      </w:r>
    </w:p>
    <w:p>
      <w:pPr>
        <w:pStyle w:val="2"/>
        <w:ind w:firstLine="640" w:firstLineChars="200"/>
        <w:rPr>
          <w:rFonts w:hint="default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</w:rPr>
        <w:t>（五）做好施工期环境保护工作。按要求落实施工期废水、废气、噪声、固体废物等污染防治措施。施工期噪声执行《建筑施工场界环境噪声排放标准》（GB12523-2011）。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三、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做好环境事故风险防范工作。制定突发环境事件应急预案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，落实有效的环境事故风险防范和应急措施，确保环境安全。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报告表经批准后，项目的性质、规模、地点、采用的生产工艺或者防治污染设施、防止生态破坏的措施发生重大变动的，建设单位应重新报批项目的环境影响评价文件。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、建设项目应严格执行配套建设的环境保护设施与主体工程同时设计、同时施工、同时投产使用的环境保护“三同时”制度。</w:t>
      </w:r>
    </w:p>
    <w:p>
      <w:pPr>
        <w:spacing w:line="600" w:lineRule="exact"/>
        <w:ind w:firstLine="640" w:firstLineChars="200"/>
        <w:rPr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六、</w:t>
      </w:r>
      <w:r>
        <w:rPr>
          <w:rFonts w:hint="eastAsia" w:ascii="仿宋_GB2312" w:hAnsi="仿宋_GB2312"/>
          <w:color w:val="auto"/>
          <w:sz w:val="32"/>
          <w:szCs w:val="32"/>
        </w:rPr>
        <w:t>项目建成后，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请贵单位</w:t>
      </w:r>
      <w:r>
        <w:rPr>
          <w:rFonts w:hint="eastAsia" w:ascii="仿宋_GB2312" w:hAnsi="仿宋_GB2312"/>
          <w:color w:val="auto"/>
          <w:sz w:val="32"/>
          <w:szCs w:val="32"/>
        </w:rPr>
        <w:t>按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有关</w:t>
      </w:r>
      <w:r>
        <w:rPr>
          <w:rFonts w:hint="eastAsia" w:ascii="仿宋_GB2312" w:hAnsi="仿宋_GB2312"/>
          <w:color w:val="auto"/>
          <w:sz w:val="32"/>
          <w:szCs w:val="32"/>
        </w:rPr>
        <w:t>规定开展项目竣工环境保护验收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，并报我局备案</w:t>
      </w:r>
      <w:r>
        <w:rPr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此复。</w:t>
      </w:r>
    </w:p>
    <w:p>
      <w:pPr>
        <w:pStyle w:val="2"/>
        <w:ind w:firstLine="640" w:firstLineChars="200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（此页无正文）</w:t>
      </w: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  <w:t>河源市高新区管委会行政审批局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0" w:firstLineChars="195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20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</w:p>
    <w:p>
      <w:pPr>
        <w:pStyle w:val="2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直接连接符 1" o:spid="_x0000_s2050" o:spt="20" style="position:absolute;left:0pt;margin-left:0.8pt;margin-top:0.5pt;height:0pt;width:453.1pt;z-index:251671552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送：市高新区管委会、市生态环境局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>：环境保护和城市管理局、综合执法局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1" o:spid="_x0000_s2051" o:spt="20" style="position:absolute;left:0pt;margin-left:1.6pt;margin-top:30.1pt;height:0pt;width:453.1pt;z-index:251700224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2" o:spid="_x0000_s2052" o:spt="20" style="position:absolute;left:0pt;margin-left:0pt;margin-top:3.1pt;height:0pt;width:453.1pt;z-index:251685888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 xml:space="preserve">高新区行政审批局           </w:t>
      </w:r>
      <w:r>
        <w:rPr>
          <w:rFonts w:hint="eastAsia" w:eastAsia="华文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20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日印发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（共印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份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，存档1份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</w:t>
      </w:r>
    </w:p>
    <w:sectPr>
      <w:headerReference r:id="rId3" w:type="default"/>
      <w:footerReference r:id="rId4" w:type="default"/>
      <w:footerReference r:id="rId5" w:type="even"/>
      <w:pgSz w:w="11906" w:h="16838"/>
      <w:pgMar w:top="1587" w:right="1361" w:bottom="158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t xml:space="preserve">- </w:t>
    </w: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</w:rPr>
      <w:t>2</w:t>
    </w:r>
    <w:r>
      <w:rPr>
        <w:rFonts w:ascii="宋体" w:hAnsi="宋体"/>
        <w:sz w:val="32"/>
        <w:szCs w:val="32"/>
      </w:rPr>
      <w:fldChar w:fldCharType="end"/>
    </w:r>
    <w:r>
      <w:rPr>
        <w:rFonts w:ascii="宋体" w:hAnsi="宋体"/>
        <w:sz w:val="32"/>
        <w:szCs w:val="3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5A3F3"/>
    <w:multiLevelType w:val="singleLevel"/>
    <w:tmpl w:val="79C5A3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10E"/>
    <w:rsid w:val="0002771D"/>
    <w:rsid w:val="00204473"/>
    <w:rsid w:val="002B412E"/>
    <w:rsid w:val="003C2645"/>
    <w:rsid w:val="003F57AF"/>
    <w:rsid w:val="00470AC4"/>
    <w:rsid w:val="00472DAD"/>
    <w:rsid w:val="005D4A8A"/>
    <w:rsid w:val="00721E0F"/>
    <w:rsid w:val="008560BE"/>
    <w:rsid w:val="008B010E"/>
    <w:rsid w:val="009A0599"/>
    <w:rsid w:val="00BA08DA"/>
    <w:rsid w:val="00BC5687"/>
    <w:rsid w:val="00CE6876"/>
    <w:rsid w:val="00DE7F36"/>
    <w:rsid w:val="00DF5386"/>
    <w:rsid w:val="01E46EAB"/>
    <w:rsid w:val="03B269EB"/>
    <w:rsid w:val="04A74955"/>
    <w:rsid w:val="06C95E74"/>
    <w:rsid w:val="07EF4AC0"/>
    <w:rsid w:val="086C13ED"/>
    <w:rsid w:val="0B017DFC"/>
    <w:rsid w:val="0C7348F6"/>
    <w:rsid w:val="0E387F88"/>
    <w:rsid w:val="0EAA775B"/>
    <w:rsid w:val="128D6F29"/>
    <w:rsid w:val="13AD6107"/>
    <w:rsid w:val="1481018F"/>
    <w:rsid w:val="174B4C0D"/>
    <w:rsid w:val="17AF6709"/>
    <w:rsid w:val="17F40652"/>
    <w:rsid w:val="18372E0F"/>
    <w:rsid w:val="18D97685"/>
    <w:rsid w:val="198A7200"/>
    <w:rsid w:val="1B902832"/>
    <w:rsid w:val="2166526B"/>
    <w:rsid w:val="21CB6A60"/>
    <w:rsid w:val="22E95C54"/>
    <w:rsid w:val="22EF397C"/>
    <w:rsid w:val="246401C0"/>
    <w:rsid w:val="25075681"/>
    <w:rsid w:val="273F223B"/>
    <w:rsid w:val="277B5530"/>
    <w:rsid w:val="27BC1E2E"/>
    <w:rsid w:val="2A304B67"/>
    <w:rsid w:val="2C5100B5"/>
    <w:rsid w:val="2DBB221D"/>
    <w:rsid w:val="2E6260A8"/>
    <w:rsid w:val="2F6E616E"/>
    <w:rsid w:val="32CE304A"/>
    <w:rsid w:val="34883D42"/>
    <w:rsid w:val="35C34C5F"/>
    <w:rsid w:val="37D63F30"/>
    <w:rsid w:val="38650D70"/>
    <w:rsid w:val="38CE0856"/>
    <w:rsid w:val="396B7181"/>
    <w:rsid w:val="3B3F2B14"/>
    <w:rsid w:val="3E277305"/>
    <w:rsid w:val="3F3B789E"/>
    <w:rsid w:val="41A70ABB"/>
    <w:rsid w:val="422D71A3"/>
    <w:rsid w:val="4299329A"/>
    <w:rsid w:val="42C93271"/>
    <w:rsid w:val="430A0DBD"/>
    <w:rsid w:val="433419DE"/>
    <w:rsid w:val="43AC3FCE"/>
    <w:rsid w:val="47D171B3"/>
    <w:rsid w:val="49373F2E"/>
    <w:rsid w:val="4BFD01D9"/>
    <w:rsid w:val="4C8110D1"/>
    <w:rsid w:val="4E5936D6"/>
    <w:rsid w:val="51D77B6E"/>
    <w:rsid w:val="53C81961"/>
    <w:rsid w:val="5439514D"/>
    <w:rsid w:val="54425623"/>
    <w:rsid w:val="56AD03A4"/>
    <w:rsid w:val="56E82041"/>
    <w:rsid w:val="57970437"/>
    <w:rsid w:val="57D26084"/>
    <w:rsid w:val="5C8D6DEC"/>
    <w:rsid w:val="5E1C2537"/>
    <w:rsid w:val="60167BD9"/>
    <w:rsid w:val="63FC38AF"/>
    <w:rsid w:val="649D6655"/>
    <w:rsid w:val="668A1FF6"/>
    <w:rsid w:val="692B2656"/>
    <w:rsid w:val="6E984032"/>
    <w:rsid w:val="6EBB720B"/>
    <w:rsid w:val="729A5FFC"/>
    <w:rsid w:val="742361AB"/>
    <w:rsid w:val="75E54F2E"/>
    <w:rsid w:val="7638738F"/>
    <w:rsid w:val="767370E1"/>
    <w:rsid w:val="78242888"/>
    <w:rsid w:val="795F57FF"/>
    <w:rsid w:val="798448BF"/>
    <w:rsid w:val="7A1824C2"/>
    <w:rsid w:val="7AC52B10"/>
    <w:rsid w:val="7C3D10E8"/>
    <w:rsid w:val="7DE035E1"/>
    <w:rsid w:val="7F9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28"/>
      <w:szCs w:val="20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日期 Char"/>
    <w:basedOn w:val="7"/>
    <w:link w:val="3"/>
    <w:qFormat/>
    <w:uiPriority w:val="0"/>
    <w:rPr>
      <w:rFonts w:eastAsia="仿宋_GB2312"/>
      <w:kern w:val="2"/>
      <w:sz w:val="30"/>
      <w:szCs w:val="24"/>
    </w:rPr>
  </w:style>
  <w:style w:type="paragraph" w:customStyle="1" w:styleId="13">
    <w:name w:val="Table Paragraph"/>
    <w:basedOn w:val="1"/>
    <w:qFormat/>
    <w:uiPriority w:val="1"/>
    <w:pPr>
      <w:jc w:val="left"/>
    </w:pPr>
    <w:rPr>
      <w:rFonts w:ascii="Calibri" w:hAnsi="Calibri" w:eastAsia="宋体"/>
      <w:kern w:val="0"/>
      <w:sz w:val="22"/>
      <w:szCs w:val="22"/>
      <w:lang w:eastAsia="en-US"/>
    </w:rPr>
  </w:style>
  <w:style w:type="paragraph" w:customStyle="1" w:styleId="14">
    <w:name w:val="技术评估意见正文"/>
    <w:basedOn w:val="15"/>
    <w:qFormat/>
    <w:uiPriority w:val="0"/>
    <w:pPr>
      <w:jc w:val="both"/>
    </w:pPr>
    <w:rPr>
      <w:rFonts w:hAnsi="宋体" w:eastAsia="仿宋_GB2312"/>
      <w:color w:val="auto"/>
      <w:kern w:val="0"/>
      <w:sz w:val="32"/>
      <w:szCs w:val="32"/>
    </w:rPr>
  </w:style>
  <w:style w:type="paragraph" w:customStyle="1" w:styleId="15">
    <w:name w:val="评估意见正文文字"/>
    <w:basedOn w:val="1"/>
    <w:qFormat/>
    <w:uiPriority w:val="0"/>
    <w:pPr>
      <w:ind w:firstLine="640" w:firstLineChars="200"/>
      <w:jc w:val="left"/>
    </w:pPr>
    <w:rPr>
      <w:rFonts w:ascii="Times New Roman" w:hAnsi="Times New Roman" w:eastAsia="仿宋" w:cs="Times New Roman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3</Pages>
  <Words>169</Words>
  <Characters>964</Characters>
  <Lines>8</Lines>
  <Paragraphs>2</Paragraphs>
  <TotalTime>2</TotalTime>
  <ScaleCrop>false</ScaleCrop>
  <LinksUpToDate>false</LinksUpToDate>
  <CharactersWithSpaces>1131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2018-11-22T09:07:00Z</dcterms:created>
  <dc:creator>李惠文</dc:creator>
  <cp:lastModifiedBy>曼曼</cp:lastModifiedBy>
  <cp:lastPrinted>2020-08-05T01:58:00Z</cp:lastPrinted>
  <dcterms:modified xsi:type="dcterms:W3CDTF">2020-09-14T01:57:08Z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