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6"/>
          <w:szCs w:val="56"/>
          <w:lang w:val="en-US"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2"/>
          <w:szCs w:val="5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val="0"/>
          <w:bCs w:val="0"/>
          <w:spacing w:val="0"/>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r>
        <w:rPr>
          <w:rFonts w:hint="default" w:ascii="Times New Roman" w:hAnsi="Times New Roman" w:eastAsia="方正仿宋简体" w:cs="Times New Roman"/>
          <w:b w:val="0"/>
          <w:bCs w:val="0"/>
          <w:spacing w:val="0"/>
          <w:sz w:val="32"/>
          <w:szCs w:val="32"/>
          <w:lang w:eastAsia="zh-CN"/>
        </w:rPr>
        <w:t>河高环审〔20</w:t>
      </w:r>
      <w:r>
        <w:rPr>
          <w:rFonts w:hint="eastAsia" w:eastAsia="方正仿宋简体" w:cs="Times New Roman"/>
          <w:b w:val="0"/>
          <w:bCs w:val="0"/>
          <w:spacing w:val="0"/>
          <w:sz w:val="32"/>
          <w:szCs w:val="32"/>
          <w:lang w:val="en-US" w:eastAsia="zh-CN"/>
        </w:rPr>
        <w:t>20</w:t>
      </w:r>
      <w:r>
        <w:rPr>
          <w:rFonts w:hint="default" w:ascii="Times New Roman" w:hAnsi="Times New Roman" w:eastAsia="方正仿宋简体" w:cs="Times New Roman"/>
          <w:b w:val="0"/>
          <w:bCs w:val="0"/>
          <w:spacing w:val="0"/>
          <w:sz w:val="32"/>
          <w:szCs w:val="32"/>
          <w:lang w:eastAsia="zh-CN"/>
        </w:rPr>
        <w:t>〕1</w:t>
      </w:r>
      <w:r>
        <w:rPr>
          <w:rFonts w:hint="eastAsia" w:eastAsia="方正仿宋简体" w:cs="Times New Roman"/>
          <w:b w:val="0"/>
          <w:bCs w:val="0"/>
          <w:spacing w:val="0"/>
          <w:sz w:val="32"/>
          <w:szCs w:val="32"/>
          <w:lang w:val="en-US" w:eastAsia="zh-CN"/>
        </w:rPr>
        <w:t>2</w:t>
      </w:r>
      <w:r>
        <w:rPr>
          <w:rFonts w:hint="default" w:ascii="Times New Roman" w:hAnsi="Times New Roman" w:eastAsia="方正仿宋简体" w:cs="Times New Roman"/>
          <w:b w:val="0"/>
          <w:bCs w:val="0"/>
          <w:spacing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spacing w:val="-6"/>
          <w:sz w:val="44"/>
          <w:szCs w:val="44"/>
          <w:lang w:eastAsia="zh-CN"/>
        </w:rPr>
      </w:pPr>
    </w:p>
    <w:p>
      <w:pPr>
        <w:snapToGrid w:val="0"/>
        <w:jc w:val="center"/>
        <w:rPr>
          <w:rFonts w:hint="default" w:ascii="Times New Roman" w:hAnsi="Times New Roman" w:cs="Times New Roman" w:eastAsiaTheme="majorEastAsia"/>
          <w:b/>
          <w:spacing w:val="-6"/>
          <w:sz w:val="44"/>
          <w:szCs w:val="44"/>
        </w:rPr>
      </w:pPr>
      <w:r>
        <w:rPr>
          <w:rFonts w:hint="default" w:ascii="Times New Roman" w:hAnsi="Times New Roman" w:eastAsia="方正小标宋简体" w:cs="Times New Roman"/>
          <w:b w:val="0"/>
          <w:bCs/>
          <w:spacing w:val="-6"/>
          <w:sz w:val="44"/>
          <w:szCs w:val="44"/>
        </w:rPr>
        <w:t>关于</w:t>
      </w:r>
      <w:r>
        <w:rPr>
          <w:rFonts w:hint="eastAsia" w:ascii="ti" w:hAnsi="ti" w:eastAsia="方正小标宋简体" w:cs="Times New Roman"/>
          <w:sz w:val="44"/>
          <w:szCs w:val="44"/>
        </w:rPr>
        <w:t>今麦郎面品（河源）有限公司年产9500万箱方便食品</w:t>
      </w:r>
      <w:r>
        <w:rPr>
          <w:rFonts w:hint="eastAsia" w:ascii="ti" w:hAnsi="ti" w:eastAsia="方正小标宋简体" w:cs="Times New Roman"/>
          <w:sz w:val="44"/>
          <w:szCs w:val="44"/>
        </w:rPr>
        <w:t>建设项目环境影响报告表</w:t>
      </w:r>
      <w:r>
        <w:rPr>
          <w:rFonts w:hint="default" w:ascii="Times New Roman" w:hAnsi="Times New Roman" w:eastAsia="方正小标宋简体" w:cs="Times New Roman"/>
          <w:b w:val="0"/>
          <w:bCs/>
          <w:spacing w:val="-6"/>
          <w:sz w:val="44"/>
          <w:szCs w:val="44"/>
        </w:rPr>
        <w:t>的批复</w:t>
      </w:r>
    </w:p>
    <w:p>
      <w:pPr>
        <w:rPr>
          <w:rFonts w:hint="default" w:ascii="Times New Roman" w:hAnsi="Times New Roman" w:eastAsia="华文仿宋" w:cs="Times New Roman"/>
          <w:sz w:val="32"/>
          <w:szCs w:val="32"/>
        </w:rPr>
      </w:pP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今麦郎面品（河源）有限公司</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ascii="Times New Roman" w:hAnsi="Times New Roman" w:eastAsia="方正仿宋简体" w:cs="Times New Roman"/>
          <w:spacing w:val="0"/>
          <w:sz w:val="32"/>
          <w:szCs w:val="32"/>
          <w:lang w:eastAsia="zh-CN"/>
        </w:rPr>
        <w:t>贵</w:t>
      </w:r>
      <w:r>
        <w:rPr>
          <w:rFonts w:hint="default" w:ascii="Times New Roman" w:hAnsi="Times New Roman" w:eastAsia="方正仿宋简体" w:cs="Times New Roman"/>
          <w:spacing w:val="0"/>
          <w:sz w:val="32"/>
          <w:szCs w:val="32"/>
        </w:rPr>
        <w:t>单位报送的《今麦郎面品（河源）有限公司年产9500万箱方便食品</w:t>
      </w:r>
      <w:r>
        <w:rPr>
          <w:rFonts w:hint="default" w:ascii="Times New Roman" w:hAnsi="Times New Roman" w:eastAsia="方正仿宋简体" w:cs="Times New Roman"/>
          <w:spacing w:val="0"/>
          <w:sz w:val="32"/>
          <w:szCs w:val="32"/>
        </w:rPr>
        <w:t>建设项目环境影响报告表》及报批函等材料收悉。经研究，批复如下：</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ascii="Times New Roman" w:hAnsi="Times New Roman" w:eastAsia="方正仿宋简体" w:cs="Times New Roman"/>
          <w:spacing w:val="0"/>
          <w:sz w:val="32"/>
          <w:szCs w:val="32"/>
          <w:lang w:eastAsia="zh-CN"/>
        </w:rPr>
        <w:t>一、今麦郎面品（河源）有限公司位于</w:t>
      </w:r>
      <w:r>
        <w:rPr>
          <w:rFonts w:hint="default" w:ascii="Times New Roman" w:hAnsi="Times New Roman" w:eastAsia="方正仿宋简体" w:cs="Times New Roman"/>
          <w:spacing w:val="0"/>
          <w:sz w:val="32"/>
          <w:szCs w:val="32"/>
          <w:lang w:val="en-US" w:eastAsia="zh-CN"/>
        </w:rPr>
        <w:t>河源市高新区兴工南路以东、滨江南路以南</w:t>
      </w:r>
      <w:r>
        <w:rPr>
          <w:rFonts w:hint="eastAsia" w:ascii="Times New Roman" w:hAnsi="Times New Roman" w:eastAsia="方正仿宋简体" w:cs="Times New Roman"/>
          <w:spacing w:val="0"/>
          <w:sz w:val="32"/>
          <w:szCs w:val="32"/>
          <w:lang w:eastAsia="zh-CN"/>
        </w:rPr>
        <w:t>，总</w:t>
      </w:r>
      <w:r>
        <w:rPr>
          <w:rFonts w:hint="default" w:ascii="Times New Roman" w:hAnsi="Times New Roman" w:eastAsia="方正仿宋简体" w:cs="Times New Roman"/>
          <w:spacing w:val="0"/>
          <w:sz w:val="32"/>
          <w:szCs w:val="32"/>
          <w:lang w:val="en-US" w:eastAsia="zh-CN"/>
        </w:rPr>
        <w:t>占地面积40117.65m</w:t>
      </w:r>
      <w:r>
        <w:rPr>
          <w:rFonts w:hint="default" w:ascii="Times New Roman" w:hAnsi="Times New Roman" w:eastAsia="方正仿宋简体" w:cs="Times New Roman"/>
          <w:spacing w:val="0"/>
          <w:sz w:val="32"/>
          <w:szCs w:val="32"/>
          <w:vertAlign w:val="superscript"/>
          <w:lang w:val="en-US" w:eastAsia="zh-CN"/>
        </w:rPr>
        <w:t>2</w:t>
      </w:r>
      <w:r>
        <w:rPr>
          <w:rFonts w:hint="default" w:ascii="Times New Roman" w:hAnsi="Times New Roman" w:eastAsia="方正仿宋简体" w:cs="Times New Roman"/>
          <w:spacing w:val="0"/>
          <w:sz w:val="32"/>
          <w:szCs w:val="32"/>
          <w:lang w:val="en-US" w:eastAsia="zh-CN"/>
        </w:rPr>
        <w:t>，建筑面积116437.26m</w:t>
      </w:r>
      <w:r>
        <w:rPr>
          <w:rFonts w:hint="default" w:ascii="Times New Roman" w:hAnsi="Times New Roman" w:eastAsia="方正仿宋简体" w:cs="Times New Roman"/>
          <w:spacing w:val="0"/>
          <w:sz w:val="32"/>
          <w:szCs w:val="32"/>
          <w:vertAlign w:val="superscript"/>
          <w:lang w:val="en-US" w:eastAsia="zh-CN"/>
        </w:rPr>
        <w:t>2</w:t>
      </w:r>
      <w:r>
        <w:rPr>
          <w:rFonts w:hint="eastAsia" w:ascii="Times New Roman" w:hAnsi="Times New Roman" w:eastAsia="方正仿宋简体" w:cs="Times New Roman"/>
          <w:spacing w:val="0"/>
          <w:sz w:val="32"/>
          <w:szCs w:val="32"/>
          <w:lang w:val="en-US" w:eastAsia="zh-CN"/>
        </w:rPr>
        <w:t>，主要建构筑物包括1栋4层的制面车间、1栋11层的宿舍楼、1栋2层的实验室，1栋1层的食堂等。项目主要从事方便食品的生产，预计年产方便面</w:t>
      </w:r>
      <w:r>
        <w:rPr>
          <w:rFonts w:hint="default" w:ascii="Times New Roman" w:hAnsi="Times New Roman" w:eastAsia="方正仿宋简体" w:cs="Times New Roman"/>
          <w:spacing w:val="0"/>
          <w:sz w:val="32"/>
          <w:szCs w:val="32"/>
          <w:lang w:val="en-US" w:eastAsia="zh-CN"/>
        </w:rPr>
        <w:t>9500万箱</w:t>
      </w:r>
      <w:r>
        <w:rPr>
          <w:rFonts w:hint="eastAsia" w:ascii="Times New Roman" w:hAnsi="Times New Roman" w:eastAsia="方正仿宋简体" w:cs="Times New Roman"/>
          <w:spacing w:val="0"/>
          <w:sz w:val="32"/>
          <w:szCs w:val="32"/>
          <w:lang w:val="en-US" w:eastAsia="zh-CN"/>
        </w:rPr>
        <w:t>（约</w:t>
      </w:r>
      <w:r>
        <w:rPr>
          <w:rFonts w:hint="default" w:ascii="Times New Roman" w:hAnsi="Times New Roman" w:eastAsia="方正仿宋简体" w:cs="Times New Roman"/>
          <w:spacing w:val="0"/>
          <w:sz w:val="32"/>
          <w:szCs w:val="32"/>
          <w:lang w:val="en-US" w:eastAsia="zh-CN"/>
        </w:rPr>
        <w:t>165596吨</w:t>
      </w:r>
      <w:r>
        <w:rPr>
          <w:rFonts w:hint="eastAsia" w:ascii="Times New Roman" w:hAnsi="Times New Roman" w:eastAsia="方正仿宋简体" w:cs="Times New Roman"/>
          <w:spacing w:val="0"/>
          <w:sz w:val="32"/>
          <w:szCs w:val="32"/>
          <w:lang w:val="en-US" w:eastAsia="zh-CN"/>
        </w:rPr>
        <w:t>）。项目劳动</w:t>
      </w:r>
      <w:r>
        <w:rPr>
          <w:rFonts w:hint="default" w:ascii="Times New Roman" w:hAnsi="Times New Roman" w:eastAsia="方正仿宋简体" w:cs="Times New Roman"/>
          <w:spacing w:val="0"/>
          <w:sz w:val="32"/>
          <w:szCs w:val="32"/>
          <w:lang w:val="en-US" w:eastAsia="zh-CN"/>
        </w:rPr>
        <w:t>定员790人，其中400人在厂内住宿</w:t>
      </w:r>
      <w:r>
        <w:rPr>
          <w:rFonts w:hint="eastAsia"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lang w:val="en-US" w:eastAsia="zh-CN"/>
        </w:rPr>
        <w:t>全年生产运行300天，每天实行两班，每班8小时工作制</w:t>
      </w:r>
      <w:r>
        <w:rPr>
          <w:rFonts w:hint="eastAsia" w:ascii="Times New Roman" w:hAnsi="Times New Roman" w:eastAsia="方正仿宋简体" w:cs="Times New Roman"/>
          <w:spacing w:val="0"/>
          <w:sz w:val="32"/>
          <w:szCs w:val="32"/>
          <w:lang w:val="en-US"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根据该项目环境影响报告表评价结论和</w:t>
      </w:r>
      <w:r>
        <w:rPr>
          <w:rFonts w:hint="eastAsia" w:ascii="Times New Roman" w:hAnsi="Times New Roman" w:eastAsia="方正仿宋简体" w:cs="Times New Roman"/>
          <w:spacing w:val="0"/>
          <w:sz w:val="32"/>
          <w:szCs w:val="32"/>
          <w:lang w:eastAsia="zh-CN"/>
        </w:rPr>
        <w:t>广东环境保护工程职业学院技术</w:t>
      </w:r>
      <w:r>
        <w:rPr>
          <w:rFonts w:hint="default" w:ascii="Times New Roman" w:hAnsi="Times New Roman" w:eastAsia="方正仿宋简体" w:cs="Times New Roman"/>
          <w:spacing w:val="0"/>
          <w:sz w:val="32"/>
          <w:szCs w:val="32"/>
        </w:rPr>
        <w:t>评估意见，在落实各项污染防治措施、确保污染物排放稳定达标</w:t>
      </w:r>
      <w:r>
        <w:rPr>
          <w:rFonts w:hint="eastAsia" w:ascii="Times New Roman" w:hAnsi="Times New Roman" w:eastAsia="方正仿宋简体" w:cs="Times New Roman"/>
          <w:spacing w:val="0"/>
          <w:sz w:val="32"/>
          <w:szCs w:val="32"/>
        </w:rPr>
        <w:t>及符合总量控制</w:t>
      </w:r>
      <w:r>
        <w:rPr>
          <w:rFonts w:hint="default" w:ascii="Times New Roman" w:hAnsi="Times New Roman" w:eastAsia="方正仿宋简体" w:cs="Times New Roman"/>
          <w:spacing w:val="0"/>
          <w:sz w:val="32"/>
          <w:szCs w:val="32"/>
        </w:rPr>
        <w:t>的前提下，项目按照报告表中所列的性质、规模、地点建设，从环境保护角度可行。</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0"/>
          <w:sz w:val="32"/>
          <w:szCs w:val="18"/>
        </w:rPr>
      </w:pPr>
      <w:r>
        <w:rPr>
          <w:rFonts w:hint="default" w:ascii="Times New Roman" w:hAnsi="Times New Roman" w:eastAsia="方正仿宋简体" w:cs="Times New Roman"/>
          <w:spacing w:val="0"/>
          <w:sz w:val="32"/>
          <w:szCs w:val="32"/>
        </w:rPr>
        <w:t>二、项目建设及运营期间，重点做好以下环保工作：</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（一）做好水污染防治工作。严格执行“雨污分流”制度，</w:t>
      </w:r>
      <w:r>
        <w:rPr>
          <w:rFonts w:hint="eastAsia" w:ascii="Times New Roman" w:hAnsi="Times New Roman" w:eastAsia="方正仿宋简体" w:cs="Times New Roman"/>
          <w:spacing w:val="0"/>
          <w:sz w:val="32"/>
          <w:szCs w:val="32"/>
          <w:lang w:eastAsia="zh-CN"/>
        </w:rPr>
        <w:t>雨水排入市政雨水管道；生产废水经自建污水处理站处理达到广东省《水污染物排放限值》（DB44/26-2001）第二时段一级标准后通过</w:t>
      </w:r>
      <w:r>
        <w:rPr>
          <w:rFonts w:hint="eastAsia" w:ascii="Times New Roman" w:hAnsi="Times New Roman" w:eastAsia="方正仿宋简体" w:cs="Times New Roman"/>
          <w:spacing w:val="0"/>
          <w:sz w:val="32"/>
          <w:szCs w:val="32"/>
          <w:lang w:eastAsia="zh-CN"/>
        </w:rPr>
        <w:t>市政污水管网排入</w:t>
      </w:r>
      <w:r>
        <w:rPr>
          <w:rFonts w:hint="eastAsia" w:eastAsia="方正仿宋简体" w:cs="Times New Roman"/>
          <w:spacing w:val="0"/>
          <w:sz w:val="32"/>
          <w:szCs w:val="32"/>
          <w:lang w:eastAsia="zh-CN"/>
        </w:rPr>
        <w:t>园区</w:t>
      </w:r>
      <w:r>
        <w:rPr>
          <w:rFonts w:hint="eastAsia" w:ascii="Times New Roman" w:hAnsi="Times New Roman" w:eastAsia="方正仿宋简体" w:cs="Times New Roman"/>
          <w:spacing w:val="0"/>
          <w:sz w:val="32"/>
          <w:szCs w:val="32"/>
          <w:lang w:eastAsia="zh-CN"/>
        </w:rPr>
        <w:t>城镇污水处理厂集中处理；生活污水</w:t>
      </w:r>
      <w:r>
        <w:rPr>
          <w:rFonts w:hint="default" w:ascii="Times New Roman" w:hAnsi="Times New Roman" w:eastAsia="方正仿宋简体" w:cs="Times New Roman"/>
          <w:spacing w:val="0"/>
          <w:sz w:val="32"/>
          <w:szCs w:val="32"/>
          <w:lang w:val="en-US" w:eastAsia="zh-CN"/>
        </w:rPr>
        <w:t>经三级化粪池预处理</w:t>
      </w:r>
      <w:r>
        <w:rPr>
          <w:rFonts w:hint="eastAsia" w:ascii="Times New Roman" w:hAnsi="Times New Roman" w:eastAsia="方正仿宋简体" w:cs="Times New Roman"/>
          <w:spacing w:val="0"/>
          <w:sz w:val="32"/>
          <w:szCs w:val="32"/>
          <w:lang w:val="en-US" w:eastAsia="zh-CN"/>
        </w:rPr>
        <w:t>、食堂废水经隔油隔渣池预处理</w:t>
      </w:r>
      <w:r>
        <w:rPr>
          <w:rFonts w:hint="eastAsia" w:ascii="Times New Roman" w:hAnsi="Times New Roman" w:eastAsia="方正仿宋简体" w:cs="Times New Roman"/>
          <w:spacing w:val="0"/>
          <w:sz w:val="32"/>
          <w:szCs w:val="32"/>
          <w:lang w:eastAsia="zh-CN"/>
        </w:rPr>
        <w:t>达到广东省《水污染物排放限值》（DB44/26-2001）第二时段三级标准后排入市政污水管网，最终进入</w:t>
      </w:r>
      <w:r>
        <w:rPr>
          <w:rFonts w:hint="eastAsia" w:eastAsia="方正仿宋简体" w:cs="Times New Roman"/>
          <w:spacing w:val="0"/>
          <w:sz w:val="32"/>
          <w:szCs w:val="32"/>
          <w:lang w:eastAsia="zh-CN"/>
        </w:rPr>
        <w:t>园区</w:t>
      </w:r>
      <w:r>
        <w:rPr>
          <w:rFonts w:hint="eastAsia" w:ascii="Times New Roman" w:hAnsi="Times New Roman" w:eastAsia="方正仿宋简体" w:cs="Times New Roman"/>
          <w:spacing w:val="0"/>
          <w:sz w:val="32"/>
          <w:szCs w:val="32"/>
          <w:lang w:eastAsia="zh-CN"/>
        </w:rPr>
        <w:t>城镇污水处理厂集中处理</w:t>
      </w:r>
      <w:r>
        <w:rPr>
          <w:rFonts w:hint="eastAsia"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（二）做好大气污染防治工作。</w:t>
      </w:r>
      <w:r>
        <w:rPr>
          <w:rFonts w:hint="eastAsia" w:ascii="Times New Roman" w:hAnsi="Times New Roman" w:eastAsia="方正仿宋简体" w:cs="Times New Roman"/>
          <w:spacing w:val="0"/>
          <w:sz w:val="32"/>
          <w:szCs w:val="32"/>
          <w:lang w:val="en-US" w:eastAsia="zh-CN"/>
        </w:rPr>
        <w:t>油炸油烟废气、炒酱油烟废气、天然气燃烧废气</w:t>
      </w:r>
      <w:r>
        <w:rPr>
          <w:rFonts w:hint="eastAsia" w:eastAsia="方正仿宋简体" w:cs="Times New Roman"/>
          <w:spacing w:val="0"/>
          <w:sz w:val="32"/>
          <w:szCs w:val="32"/>
          <w:lang w:val="en-US" w:eastAsia="zh-CN"/>
        </w:rPr>
        <w:t>分别</w:t>
      </w:r>
      <w:r>
        <w:rPr>
          <w:rFonts w:hint="eastAsia" w:ascii="Times New Roman" w:hAnsi="Times New Roman" w:eastAsia="方正仿宋简体" w:cs="Times New Roman"/>
          <w:spacing w:val="0"/>
          <w:sz w:val="32"/>
          <w:szCs w:val="32"/>
          <w:lang w:val="en-US" w:eastAsia="zh-CN"/>
        </w:rPr>
        <w:t>经各集气罩收集处理后按规范高空排放；实验室有机溶剂使用过程产生的有机废气经收集处理后按规范高空排放；食堂油烟经</w:t>
      </w:r>
      <w:r>
        <w:rPr>
          <w:rFonts w:hint="eastAsia" w:eastAsia="方正仿宋简体" w:cs="Times New Roman"/>
          <w:spacing w:val="0"/>
          <w:sz w:val="32"/>
          <w:szCs w:val="32"/>
          <w:lang w:val="en-US" w:eastAsia="zh-CN"/>
        </w:rPr>
        <w:t>收集</w:t>
      </w:r>
      <w:bookmarkStart w:id="0" w:name="_GoBack"/>
      <w:bookmarkEnd w:id="0"/>
      <w:r>
        <w:rPr>
          <w:rFonts w:hint="eastAsia" w:ascii="Times New Roman" w:hAnsi="Times New Roman" w:eastAsia="方正仿宋简体" w:cs="Times New Roman"/>
          <w:spacing w:val="0"/>
          <w:sz w:val="32"/>
          <w:szCs w:val="32"/>
          <w:lang w:val="en-US" w:eastAsia="zh-CN"/>
        </w:rPr>
        <w:t>处理后引至楼顶高空排放；污水处理站恶臭通过无组织排放。油烟排放执行《饮食业油烟排放标准（试行）》（GB18483-2001），VOC</w:t>
      </w:r>
      <w:r>
        <w:rPr>
          <w:rFonts w:hint="eastAsia" w:ascii="Times New Roman" w:hAnsi="Times New Roman" w:eastAsia="方正仿宋简体" w:cs="Times New Roman"/>
          <w:spacing w:val="0"/>
          <w:sz w:val="32"/>
          <w:szCs w:val="32"/>
          <w:vertAlign w:val="subscript"/>
          <w:lang w:val="en-US" w:eastAsia="zh-CN"/>
        </w:rPr>
        <w:t>s</w:t>
      </w:r>
      <w:r>
        <w:rPr>
          <w:rFonts w:hint="eastAsia" w:ascii="Times New Roman" w:hAnsi="Times New Roman" w:eastAsia="方正仿宋简体" w:cs="Times New Roman"/>
          <w:spacing w:val="0"/>
          <w:sz w:val="32"/>
          <w:szCs w:val="32"/>
          <w:lang w:val="en-US" w:eastAsia="zh-CN"/>
        </w:rPr>
        <w:t>排放参照执行广东省《家具制造行业挥发性有机化合物排放标准》（DB44/814-2010）第Ⅱ时段排气筒VOC</w:t>
      </w:r>
      <w:r>
        <w:rPr>
          <w:rFonts w:hint="eastAsia" w:ascii="Times New Roman" w:hAnsi="Times New Roman" w:eastAsia="方正仿宋简体" w:cs="Times New Roman"/>
          <w:spacing w:val="0"/>
          <w:sz w:val="32"/>
          <w:szCs w:val="32"/>
          <w:vertAlign w:val="subscript"/>
          <w:lang w:val="en-US" w:eastAsia="zh-CN"/>
        </w:rPr>
        <w:t>s</w:t>
      </w:r>
      <w:r>
        <w:rPr>
          <w:rFonts w:hint="eastAsia" w:ascii="Times New Roman" w:hAnsi="Times New Roman" w:eastAsia="方正仿宋简体" w:cs="Times New Roman"/>
          <w:spacing w:val="0"/>
          <w:sz w:val="32"/>
          <w:szCs w:val="32"/>
          <w:lang w:val="en-US" w:eastAsia="zh-CN"/>
        </w:rPr>
        <w:t>排放限值和无组织排放监控浓度限值，燃烧废气（SO</w:t>
      </w:r>
      <w:r>
        <w:rPr>
          <w:rFonts w:hint="eastAsia" w:ascii="Times New Roman" w:hAnsi="Times New Roman" w:eastAsia="方正仿宋简体" w:cs="Times New Roman"/>
          <w:spacing w:val="0"/>
          <w:sz w:val="32"/>
          <w:szCs w:val="32"/>
          <w:vertAlign w:val="subscript"/>
          <w:lang w:val="en-US" w:eastAsia="zh-CN"/>
        </w:rPr>
        <w:t>2</w:t>
      </w:r>
      <w:r>
        <w:rPr>
          <w:rFonts w:hint="eastAsia" w:ascii="Times New Roman" w:hAnsi="Times New Roman" w:eastAsia="方正仿宋简体" w:cs="Times New Roman"/>
          <w:spacing w:val="0"/>
          <w:sz w:val="32"/>
          <w:szCs w:val="32"/>
          <w:lang w:val="en-US" w:eastAsia="zh-CN"/>
        </w:rPr>
        <w:t>、NO</w:t>
      </w:r>
      <w:r>
        <w:rPr>
          <w:rFonts w:hint="eastAsia" w:ascii="Times New Roman" w:hAnsi="Times New Roman" w:eastAsia="方正仿宋简体" w:cs="Times New Roman"/>
          <w:spacing w:val="0"/>
          <w:sz w:val="32"/>
          <w:szCs w:val="32"/>
          <w:vertAlign w:val="subscript"/>
          <w:lang w:val="en-US" w:eastAsia="zh-CN"/>
        </w:rPr>
        <w:t>x</w:t>
      </w:r>
      <w:r>
        <w:rPr>
          <w:rFonts w:hint="eastAsia" w:ascii="Times New Roman" w:hAnsi="Times New Roman" w:eastAsia="方正仿宋简体" w:cs="Times New Roman"/>
          <w:spacing w:val="0"/>
          <w:sz w:val="32"/>
          <w:szCs w:val="32"/>
          <w:lang w:val="en-US" w:eastAsia="zh-CN"/>
        </w:rPr>
        <w:t>、烟尘）排放执行广东省《大气污染物排放限值》（DB44/27-2001）第二时段二级标准和无组织排放监控浓度限值。</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（三）做好噪声污染防治工作。合理布局机械设备，采取有效的隔声、消声等措施</w:t>
      </w:r>
      <w:r>
        <w:rPr>
          <w:rFonts w:hint="eastAsia" w:ascii="Times New Roman" w:hAnsi="Times New Roman" w:eastAsia="方正仿宋简体" w:cs="Times New Roman"/>
          <w:spacing w:val="0"/>
          <w:sz w:val="32"/>
          <w:szCs w:val="32"/>
          <w:lang w:eastAsia="zh-CN"/>
        </w:rPr>
        <w:t>降低噪声对周围环境的影响。</w:t>
      </w:r>
      <w:r>
        <w:rPr>
          <w:rFonts w:hint="default" w:ascii="Times New Roman" w:hAnsi="Times New Roman" w:eastAsia="方正仿宋简体" w:cs="Times New Roman"/>
          <w:spacing w:val="0"/>
          <w:sz w:val="32"/>
          <w:szCs w:val="32"/>
        </w:rPr>
        <w:t>项目边界噪声排放执行《工业企业厂界环境噪声排放标准》（GB12348-2008）3类标准。</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（四）做好固体废物的分类收集</w:t>
      </w:r>
      <w:r>
        <w:rPr>
          <w:rFonts w:hint="eastAsia" w:ascii="Times New Roman" w:hAnsi="Times New Roman" w:eastAsia="方正仿宋简体" w:cs="Times New Roman"/>
          <w:spacing w:val="0"/>
          <w:sz w:val="32"/>
          <w:szCs w:val="32"/>
          <w:lang w:eastAsia="zh-CN"/>
        </w:rPr>
        <w:t>和</w:t>
      </w:r>
      <w:r>
        <w:rPr>
          <w:rFonts w:hint="default" w:ascii="Times New Roman" w:hAnsi="Times New Roman" w:eastAsia="方正仿宋简体" w:cs="Times New Roman"/>
          <w:spacing w:val="0"/>
          <w:sz w:val="32"/>
          <w:szCs w:val="32"/>
        </w:rPr>
        <w:t>综合利用工作，防止造成二次污染。</w:t>
      </w:r>
      <w:r>
        <w:rPr>
          <w:rFonts w:hint="eastAsia" w:ascii="Times New Roman" w:hAnsi="Times New Roman" w:eastAsia="方正仿宋简体" w:cs="Times New Roman"/>
          <w:spacing w:val="0"/>
          <w:sz w:val="32"/>
          <w:szCs w:val="32"/>
          <w:lang w:eastAsia="zh-CN"/>
        </w:rPr>
        <w:t>危险废物应按规范要求处理处置，其在厂内暂存应符合《危险废物贮存污染控制标准》（</w:t>
      </w:r>
      <w:r>
        <w:rPr>
          <w:rFonts w:hint="eastAsia" w:ascii="Times New Roman" w:hAnsi="Times New Roman" w:eastAsia="方正仿宋简体" w:cs="Times New Roman"/>
          <w:spacing w:val="0"/>
          <w:sz w:val="32"/>
          <w:szCs w:val="32"/>
          <w:lang w:val="en-US" w:eastAsia="zh-CN"/>
        </w:rPr>
        <w:t>GB18579-2001</w:t>
      </w:r>
      <w:r>
        <w:rPr>
          <w:rFonts w:hint="eastAsia" w:ascii="Times New Roman" w:hAnsi="Times New Roman"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val="en-US" w:eastAsia="zh-CN"/>
        </w:rPr>
        <w:t>；一般固体废弃物应综合利用或妥善处置，</w:t>
      </w:r>
      <w:r>
        <w:rPr>
          <w:rFonts w:hint="default" w:ascii="Times New Roman" w:hAnsi="Times New Roman" w:eastAsia="方正仿宋简体" w:cs="Times New Roman"/>
          <w:spacing w:val="0"/>
          <w:sz w:val="32"/>
          <w:szCs w:val="32"/>
        </w:rPr>
        <w:t>其在厂内暂存应符合《一般工业固体废物贮存、处置场污染控制标准》（GB18599-2001）；生活垃圾统一收集后交由环卫部门清运。</w:t>
      </w:r>
    </w:p>
    <w:p>
      <w:pPr>
        <w:pStyle w:val="2"/>
        <w:ind w:firstLine="640" w:firstLineChars="200"/>
        <w:rPr>
          <w:rFonts w:hint="default"/>
        </w:rPr>
      </w:pPr>
      <w:r>
        <w:rPr>
          <w:rFonts w:hint="eastAsia" w:ascii="Times New Roman" w:hAnsi="Times New Roman" w:eastAsia="方正仿宋简体" w:cs="Times New Roman"/>
          <w:spacing w:val="0"/>
          <w:sz w:val="32"/>
        </w:rPr>
        <w:t>（五）做好施工期环境保护工作。按要求落实施工期废水、废气、扬尘、噪声、固体废物等污染防治措施。施工期噪声执行《建筑施工场界环境噪声排放标准》（GB12523-2011）。</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三、</w:t>
      </w:r>
      <w:r>
        <w:rPr>
          <w:rFonts w:hint="eastAsia" w:ascii="Times New Roman" w:hAnsi="Times New Roman" w:eastAsia="方正仿宋简体" w:cs="Times New Roman"/>
          <w:spacing w:val="0"/>
          <w:sz w:val="32"/>
          <w:szCs w:val="32"/>
          <w:lang w:eastAsia="zh-CN"/>
        </w:rPr>
        <w:t>项目生产废水污染物COD</w:t>
      </w:r>
      <w:r>
        <w:rPr>
          <w:rFonts w:hint="eastAsia"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eastAsia="zh-CN"/>
        </w:rPr>
        <w:t>氨氮排放总量</w:t>
      </w:r>
      <w:r>
        <w:rPr>
          <w:rFonts w:hint="eastAsia" w:eastAsia="方正仿宋简体" w:cs="Times New Roman"/>
          <w:spacing w:val="0"/>
          <w:sz w:val="32"/>
          <w:szCs w:val="32"/>
          <w:lang w:eastAsia="zh-CN"/>
        </w:rPr>
        <w:t>分别控制在</w:t>
      </w:r>
      <w:r>
        <w:rPr>
          <w:rFonts w:hint="eastAsia" w:eastAsia="方正仿宋简体" w:cs="Times New Roman"/>
          <w:spacing w:val="0"/>
          <w:sz w:val="32"/>
          <w:szCs w:val="32"/>
          <w:lang w:val="en-US" w:eastAsia="zh-CN"/>
        </w:rPr>
        <w:t>4.46</w:t>
      </w:r>
      <w:r>
        <w:rPr>
          <w:rFonts w:hint="eastAsia" w:ascii="Times New Roman" w:hAnsi="Times New Roman" w:eastAsia="方正仿宋简体" w:cs="Times New Roman"/>
          <w:spacing w:val="0"/>
          <w:sz w:val="32"/>
          <w:szCs w:val="32"/>
          <w:lang w:eastAsia="zh-CN"/>
        </w:rPr>
        <w:t>吨/年</w:t>
      </w:r>
      <w:r>
        <w:rPr>
          <w:rFonts w:hint="eastAsia" w:eastAsia="方正仿宋简体" w:cs="Times New Roman"/>
          <w:spacing w:val="0"/>
          <w:sz w:val="32"/>
          <w:szCs w:val="32"/>
          <w:lang w:eastAsia="zh-CN"/>
        </w:rPr>
        <w:t>、</w:t>
      </w:r>
      <w:r>
        <w:rPr>
          <w:rFonts w:hint="eastAsia" w:eastAsia="方正仿宋简体" w:cs="Times New Roman"/>
          <w:spacing w:val="0"/>
          <w:sz w:val="32"/>
          <w:szCs w:val="32"/>
          <w:lang w:val="en-US" w:eastAsia="zh-CN"/>
        </w:rPr>
        <w:t>0.50</w:t>
      </w:r>
      <w:r>
        <w:rPr>
          <w:rFonts w:hint="eastAsia" w:ascii="Times New Roman" w:hAnsi="Times New Roman" w:eastAsia="方正仿宋简体" w:cs="Times New Roman"/>
          <w:spacing w:val="0"/>
          <w:sz w:val="32"/>
          <w:szCs w:val="32"/>
          <w:lang w:eastAsia="zh-CN"/>
        </w:rPr>
        <w:t>吨/年</w:t>
      </w:r>
      <w:r>
        <w:rPr>
          <w:rFonts w:hint="eastAsia" w:eastAsia="方正仿宋简体" w:cs="Times New Roman"/>
          <w:spacing w:val="0"/>
          <w:sz w:val="32"/>
          <w:szCs w:val="32"/>
          <w:lang w:eastAsia="zh-CN"/>
        </w:rPr>
        <w:t>以内，废水污染物排放总量指标纳入园区城镇污水厂所核定总量指标中调剂解决；</w:t>
      </w:r>
      <w:r>
        <w:rPr>
          <w:rFonts w:hint="eastAsia" w:ascii="Times New Roman" w:hAnsi="Times New Roman" w:eastAsia="方正仿宋简体" w:cs="Times New Roman"/>
          <w:spacing w:val="0"/>
          <w:sz w:val="32"/>
          <w:szCs w:val="32"/>
          <w:lang w:eastAsia="zh-CN"/>
        </w:rPr>
        <w:t>废气污染物</w:t>
      </w:r>
      <w:r>
        <w:rPr>
          <w:rFonts w:hint="eastAsia" w:ascii="Times New Roman" w:hAnsi="Times New Roman" w:eastAsia="方正仿宋简体" w:cs="Times New Roman"/>
          <w:spacing w:val="0"/>
          <w:sz w:val="32"/>
          <w:szCs w:val="32"/>
          <w:lang w:val="en-US" w:eastAsia="zh-CN"/>
        </w:rPr>
        <w:t>SO</w:t>
      </w:r>
      <w:r>
        <w:rPr>
          <w:rFonts w:hint="eastAsia" w:ascii="Times New Roman" w:hAnsi="Times New Roman" w:eastAsia="方正仿宋简体" w:cs="Times New Roman"/>
          <w:spacing w:val="0"/>
          <w:sz w:val="32"/>
          <w:szCs w:val="32"/>
          <w:vertAlign w:val="subscript"/>
          <w:lang w:val="en-US" w:eastAsia="zh-CN"/>
        </w:rPr>
        <w:t>2</w:t>
      </w:r>
      <w:r>
        <w:rPr>
          <w:rFonts w:hint="eastAsia" w:ascii="Times New Roman" w:hAnsi="Times New Roman" w:eastAsia="方正仿宋简体" w:cs="Times New Roman"/>
          <w:spacing w:val="0"/>
          <w:sz w:val="32"/>
          <w:szCs w:val="32"/>
          <w:lang w:val="en-US" w:eastAsia="zh-CN"/>
        </w:rPr>
        <w:t>、NO</w:t>
      </w:r>
      <w:r>
        <w:rPr>
          <w:rFonts w:hint="eastAsia" w:ascii="Times New Roman" w:hAnsi="Times New Roman" w:eastAsia="方正仿宋简体" w:cs="Times New Roman"/>
          <w:spacing w:val="0"/>
          <w:sz w:val="32"/>
          <w:szCs w:val="32"/>
          <w:vertAlign w:val="subscript"/>
          <w:lang w:val="en-US" w:eastAsia="zh-CN"/>
        </w:rPr>
        <w:t>x</w:t>
      </w:r>
      <w:r>
        <w:rPr>
          <w:rFonts w:hint="eastAsia" w:ascii="Times New Roman" w:hAnsi="Times New Roman" w:eastAsia="方正仿宋简体" w:cs="Times New Roman"/>
          <w:spacing w:val="0"/>
          <w:sz w:val="32"/>
          <w:szCs w:val="32"/>
          <w:lang w:eastAsia="zh-CN"/>
        </w:rPr>
        <w:t>排放总量</w:t>
      </w:r>
      <w:r>
        <w:rPr>
          <w:rFonts w:hint="eastAsia" w:eastAsia="方正仿宋简体" w:cs="Times New Roman"/>
          <w:spacing w:val="0"/>
          <w:sz w:val="32"/>
          <w:szCs w:val="32"/>
          <w:lang w:eastAsia="zh-CN"/>
        </w:rPr>
        <w:t>分别控制在</w:t>
      </w:r>
      <w:r>
        <w:rPr>
          <w:rFonts w:hint="eastAsia" w:ascii="Times New Roman" w:hAnsi="Times New Roman" w:eastAsia="方正仿宋简体" w:cs="Times New Roman"/>
          <w:spacing w:val="0"/>
          <w:sz w:val="32"/>
          <w:szCs w:val="32"/>
          <w:lang w:eastAsia="zh-CN"/>
        </w:rPr>
        <w:t>0.0</w:t>
      </w:r>
      <w:r>
        <w:rPr>
          <w:rFonts w:hint="eastAsia" w:eastAsia="方正仿宋简体" w:cs="Times New Roman"/>
          <w:spacing w:val="0"/>
          <w:sz w:val="32"/>
          <w:szCs w:val="32"/>
          <w:lang w:val="en-US" w:eastAsia="zh-CN"/>
        </w:rPr>
        <w:t>16</w:t>
      </w:r>
      <w:r>
        <w:rPr>
          <w:rFonts w:hint="eastAsia" w:ascii="Times New Roman" w:hAnsi="Times New Roman" w:eastAsia="方正仿宋简体" w:cs="Times New Roman"/>
          <w:spacing w:val="0"/>
          <w:sz w:val="32"/>
          <w:szCs w:val="32"/>
          <w:lang w:eastAsia="zh-CN"/>
        </w:rPr>
        <w:t>吨/年</w:t>
      </w:r>
      <w:r>
        <w:rPr>
          <w:rFonts w:hint="eastAsia"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eastAsia="zh-CN"/>
        </w:rPr>
        <w:t>0.</w:t>
      </w:r>
      <w:r>
        <w:rPr>
          <w:rFonts w:hint="eastAsia" w:eastAsia="方正仿宋简体" w:cs="Times New Roman"/>
          <w:spacing w:val="0"/>
          <w:sz w:val="32"/>
          <w:szCs w:val="32"/>
          <w:lang w:val="en-US" w:eastAsia="zh-CN"/>
        </w:rPr>
        <w:t>074</w:t>
      </w:r>
      <w:r>
        <w:rPr>
          <w:rFonts w:hint="eastAsia" w:ascii="Times New Roman" w:hAnsi="Times New Roman" w:eastAsia="方正仿宋简体" w:cs="Times New Roman"/>
          <w:spacing w:val="0"/>
          <w:sz w:val="32"/>
          <w:szCs w:val="32"/>
          <w:lang w:eastAsia="zh-CN"/>
        </w:rPr>
        <w:t>吨/年</w:t>
      </w:r>
      <w:r>
        <w:rPr>
          <w:rFonts w:hint="eastAsia" w:eastAsia="方正仿宋简体" w:cs="Times New Roman"/>
          <w:spacing w:val="0"/>
          <w:sz w:val="32"/>
          <w:szCs w:val="32"/>
          <w:lang w:eastAsia="zh-CN"/>
        </w:rPr>
        <w:t>以内</w:t>
      </w:r>
      <w:r>
        <w:rPr>
          <w:rFonts w:hint="eastAsia" w:ascii="Times New Roman" w:hAnsi="Times New Roman" w:eastAsia="方正仿宋简体" w:cs="Times New Roman"/>
          <w:spacing w:val="0"/>
          <w:sz w:val="32"/>
          <w:szCs w:val="32"/>
          <w:lang w:eastAsia="zh-CN"/>
        </w:rPr>
        <w:t>，</w:t>
      </w:r>
      <w:r>
        <w:rPr>
          <w:rFonts w:hint="eastAsia" w:eastAsia="方正仿宋简体" w:cs="Times New Roman"/>
          <w:spacing w:val="0"/>
          <w:sz w:val="32"/>
          <w:szCs w:val="32"/>
          <w:lang w:eastAsia="zh-CN"/>
        </w:rPr>
        <w:t>废气污染物排放总量指标纳入《深圳（河源）产业转移工业园扩园环境影响报告书》所核定总量指标中调剂解决</w:t>
      </w:r>
      <w:r>
        <w:rPr>
          <w:rFonts w:hint="eastAsia" w:ascii="Times New Roman" w:hAnsi="Times New Roman"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val="en-US" w:eastAsia="zh-CN"/>
        </w:rPr>
        <w:t>VOC</w:t>
      </w:r>
      <w:r>
        <w:rPr>
          <w:rFonts w:hint="eastAsia" w:ascii="Times New Roman" w:hAnsi="Times New Roman" w:eastAsia="方正仿宋简体" w:cs="Times New Roman"/>
          <w:spacing w:val="0"/>
          <w:sz w:val="32"/>
          <w:szCs w:val="32"/>
          <w:vertAlign w:val="subscript"/>
          <w:lang w:val="en-US" w:eastAsia="zh-CN"/>
        </w:rPr>
        <w:t>s</w:t>
      </w:r>
      <w:r>
        <w:rPr>
          <w:rFonts w:hint="eastAsia" w:ascii="Times New Roman" w:hAnsi="Times New Roman" w:eastAsia="方正仿宋简体" w:cs="Times New Roman"/>
          <w:spacing w:val="0"/>
          <w:sz w:val="32"/>
          <w:szCs w:val="32"/>
          <w:lang w:val="en-US" w:eastAsia="zh-CN"/>
        </w:rPr>
        <w:t>排放控制在0.213吨/年以内（其中有组织排放量为0.137吨/年，无组织排放量为0.076吨/年），烟尘有组织排放量控制在0.010吨/年以内</w:t>
      </w:r>
      <w:r>
        <w:rPr>
          <w:rFonts w:hint="eastAsia" w:ascii="Times New Roman" w:hAnsi="Times New Roman" w:eastAsia="方正仿宋简体" w:cs="Times New Roman"/>
          <w:spacing w:val="0"/>
          <w:sz w:val="32"/>
          <w:szCs w:val="32"/>
          <w:lang w:eastAsia="zh-CN"/>
        </w:rPr>
        <w:t>。</w:t>
      </w:r>
    </w:p>
    <w:p>
      <w:pPr>
        <w:pStyle w:val="2"/>
        <w:ind w:firstLine="640" w:firstLineChars="200"/>
        <w:rPr>
          <w:rFonts w:hint="default"/>
          <w:lang w:eastAsia="zh-CN"/>
        </w:rPr>
      </w:pPr>
      <w:r>
        <w:rPr>
          <w:rFonts w:hint="eastAsia" w:eastAsia="方正仿宋简体" w:cs="Times New Roman"/>
          <w:spacing w:val="0"/>
          <w:sz w:val="32"/>
          <w:szCs w:val="32"/>
          <w:lang w:eastAsia="zh-CN"/>
        </w:rPr>
        <w:t>四、</w:t>
      </w:r>
      <w:r>
        <w:rPr>
          <w:rFonts w:hint="eastAsia" w:ascii="Times New Roman" w:hAnsi="Times New Roman" w:eastAsia="方正仿宋简体" w:cs="Times New Roman"/>
          <w:spacing w:val="0"/>
          <w:sz w:val="32"/>
          <w:szCs w:val="32"/>
          <w:lang w:eastAsia="zh-CN"/>
        </w:rPr>
        <w:t>做好环境事故风险防范工作。制定突发环境事件应急预案</w:t>
      </w:r>
      <w:r>
        <w:rPr>
          <w:rFonts w:hint="eastAsia" w:eastAsia="方正仿宋简体" w:cs="Times New Roman"/>
          <w:spacing w:val="0"/>
          <w:sz w:val="32"/>
          <w:szCs w:val="32"/>
          <w:lang w:eastAsia="zh-CN"/>
        </w:rPr>
        <w:t>，落实有效的环境事故风险防范和应急措施，确保环境安全。</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五</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六</w:t>
      </w:r>
      <w:r>
        <w:rPr>
          <w:rFonts w:hint="default" w:ascii="Times New Roman" w:hAnsi="Times New Roman" w:eastAsia="方正仿宋简体" w:cs="Times New Roman"/>
          <w:spacing w:val="0"/>
          <w:sz w:val="32"/>
          <w:szCs w:val="32"/>
        </w:rPr>
        <w:t>、建设项目应严格执行配套建设的环境保护设施与主体工程同时设计、同时施工、同时投产使用的环境保护“三同时”制度。</w:t>
      </w:r>
    </w:p>
    <w:p>
      <w:pPr>
        <w:spacing w:line="600" w:lineRule="exact"/>
        <w:ind w:firstLine="640" w:firstLineChars="200"/>
        <w:rPr>
          <w:color w:val="auto"/>
          <w:sz w:val="32"/>
          <w:szCs w:val="32"/>
        </w:rPr>
      </w:pPr>
      <w:r>
        <w:rPr>
          <w:rFonts w:hint="eastAsia" w:ascii="仿宋_GB2312" w:hAnsi="仿宋_GB2312"/>
          <w:color w:val="auto"/>
          <w:sz w:val="32"/>
          <w:szCs w:val="32"/>
          <w:lang w:eastAsia="zh-CN"/>
        </w:rPr>
        <w:t>七、</w:t>
      </w:r>
      <w:r>
        <w:rPr>
          <w:rFonts w:hint="eastAsia" w:ascii="仿宋_GB2312" w:hAnsi="仿宋_GB2312"/>
          <w:color w:val="auto"/>
          <w:sz w:val="32"/>
          <w:szCs w:val="32"/>
        </w:rPr>
        <w:t>项目建成后，</w:t>
      </w:r>
      <w:r>
        <w:rPr>
          <w:rFonts w:hint="eastAsia" w:ascii="仿宋_GB2312" w:hAnsi="仿宋_GB2312"/>
          <w:color w:val="auto"/>
          <w:sz w:val="32"/>
          <w:szCs w:val="32"/>
          <w:lang w:eastAsia="zh-CN"/>
        </w:rPr>
        <w:t>请贵单位</w:t>
      </w:r>
      <w:r>
        <w:rPr>
          <w:rFonts w:hint="eastAsia" w:ascii="仿宋_GB2312" w:hAnsi="仿宋_GB2312"/>
          <w:color w:val="auto"/>
          <w:sz w:val="32"/>
          <w:szCs w:val="32"/>
        </w:rPr>
        <w:t>按</w:t>
      </w:r>
      <w:r>
        <w:rPr>
          <w:rFonts w:hint="eastAsia" w:ascii="仿宋_GB2312" w:hAnsi="仿宋_GB2312"/>
          <w:color w:val="auto"/>
          <w:sz w:val="32"/>
          <w:szCs w:val="32"/>
          <w:lang w:eastAsia="zh-CN"/>
        </w:rPr>
        <w:t>有关</w:t>
      </w:r>
      <w:r>
        <w:rPr>
          <w:rFonts w:hint="eastAsia" w:ascii="仿宋_GB2312" w:hAnsi="仿宋_GB2312"/>
          <w:color w:val="auto"/>
          <w:sz w:val="32"/>
          <w:szCs w:val="32"/>
        </w:rPr>
        <w:t>规定开展项目竣工环境保护验收</w:t>
      </w:r>
      <w:r>
        <w:rPr>
          <w:rFonts w:hint="eastAsia" w:ascii="仿宋_GB2312" w:hAnsi="仿宋_GB2312"/>
          <w:color w:val="auto"/>
          <w:sz w:val="32"/>
          <w:szCs w:val="32"/>
          <w:lang w:eastAsia="zh-CN"/>
        </w:rPr>
        <w:t>，并报我局备案</w:t>
      </w:r>
      <w:r>
        <w:rPr>
          <w:color w:val="auto"/>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此复。</w:t>
      </w:r>
    </w:p>
    <w:p>
      <w:pPr>
        <w:pStyle w:val="2"/>
        <w:rPr>
          <w:rFonts w:hint="default" w:ascii="Times New Roman" w:hAnsi="Times New Roman" w:eastAsia="方正仿宋简体" w:cs="Times New Roman"/>
          <w:spacing w:val="0"/>
          <w:sz w:val="32"/>
          <w:szCs w:val="32"/>
          <w:lang w:val="en-US" w:eastAsia="zh-CN"/>
        </w:rPr>
      </w:pPr>
    </w:p>
    <w:p>
      <w:pPr>
        <w:pStyle w:val="2"/>
        <w:rPr>
          <w:rFonts w:hint="default" w:ascii="Times New Roman" w:hAnsi="Times New Roman" w:eastAsia="方正仿宋简体" w:cs="Times New Roman"/>
          <w:spacing w:val="0"/>
          <w:sz w:val="32"/>
          <w:szCs w:val="32"/>
          <w:lang w:val="en-US" w:eastAsia="zh-CN"/>
        </w:rPr>
      </w:pPr>
    </w:p>
    <w:p>
      <w:pPr>
        <w:pStyle w:val="2"/>
        <w:rPr>
          <w:rFonts w:hint="default" w:ascii="Times New Roman" w:hAnsi="Times New Roman" w:eastAsia="方正仿宋简体" w:cs="Times New Roman"/>
          <w:spacing w:val="0"/>
          <w:sz w:val="32"/>
          <w:szCs w:val="32"/>
          <w:lang w:val="en-US" w:eastAsia="zh-CN"/>
        </w:rPr>
      </w:pPr>
    </w:p>
    <w:p>
      <w:pPr>
        <w:pStyle w:val="2"/>
        <w:rPr>
          <w:rFonts w:hint="default" w:ascii="Times New Roman" w:hAnsi="Times New Roman" w:eastAsia="方正仿宋简体" w:cs="Times New Roman"/>
          <w:spacing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pacing w:val="0"/>
          <w:kern w:val="2"/>
          <w:sz w:val="32"/>
          <w:szCs w:val="32"/>
          <w:lang w:val="en-US" w:eastAsia="zh-CN" w:bidi="ar-SA"/>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pacing w:val="0"/>
          <w:kern w:val="2"/>
          <w:sz w:val="32"/>
          <w:szCs w:val="32"/>
          <w:lang w:val="en-US" w:eastAsia="zh-CN" w:bidi="ar-SA"/>
        </w:rPr>
        <w:t xml:space="preserve"> </w:t>
      </w:r>
      <w:r>
        <w:rPr>
          <w:rFonts w:hint="eastAsia" w:ascii="Times New Roman" w:hAnsi="Times New Roman" w:eastAsia="方正仿宋简体" w:cs="Times New Roman"/>
          <w:spacing w:val="0"/>
          <w:kern w:val="2"/>
          <w:sz w:val="32"/>
          <w:szCs w:val="32"/>
          <w:lang w:val="en-US" w:eastAsia="zh-CN" w:bidi="ar-SA"/>
        </w:rPr>
        <w:t>河源市高新区管委会行政审批局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195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5</w:t>
      </w:r>
      <w:r>
        <w:rPr>
          <w:rFonts w:hint="default" w:ascii="Times New Roman" w:hAnsi="Times New Roman" w:eastAsia="方正仿宋简体" w:cs="Times New Roman"/>
          <w:color w:val="auto"/>
          <w:sz w:val="32"/>
          <w:szCs w:val="32"/>
        </w:rPr>
        <w:t>月</w:t>
      </w:r>
      <w:r>
        <w:rPr>
          <w:rFonts w:hint="eastAsia" w:eastAsia="方正仿宋简体" w:cs="Times New Roman"/>
          <w:color w:val="auto"/>
          <w:sz w:val="32"/>
          <w:szCs w:val="32"/>
          <w:lang w:val="en-US" w:eastAsia="zh-CN"/>
        </w:rPr>
        <w:t>15</w:t>
      </w:r>
      <w:r>
        <w:rPr>
          <w:rFonts w:hint="default" w:ascii="Times New Roman" w:hAnsi="Times New Roman" w:eastAsia="方正仿宋简体" w:cs="Times New Roman"/>
          <w:color w:val="auto"/>
          <w:sz w:val="32"/>
          <w:szCs w:val="32"/>
        </w:rPr>
        <w:t>日</w:t>
      </w: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lang w:eastAsia="zh-CN"/>
        </w:rPr>
      </w:pPr>
      <w:r>
        <w:rPr>
          <w:rFonts w:hint="default" w:ascii="Times New Roman" w:hAnsi="Times New Roman" w:cs="Times New Roman"/>
          <w:b w:val="0"/>
          <w:bCs w:val="0"/>
          <w:color w:val="auto"/>
          <w:sz w:val="32"/>
        </w:rPr>
        <w:pict>
          <v:line id="直接连接符 1" o:spid="_x0000_s2050"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送：市高新区管委会、市生态环境局</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rPr>
      </w:pPr>
      <w:r>
        <w:rPr>
          <w:rFonts w:hint="default" w:ascii="Times New Roman" w:hAnsi="Times New Roman" w:eastAsia="华文仿宋" w:cs="Times New Roman"/>
          <w:color w:val="auto"/>
          <w:sz w:val="32"/>
          <w:szCs w:val="32"/>
          <w:lang w:eastAsia="zh-CN"/>
        </w:rPr>
        <w:t>发</w:t>
      </w:r>
      <w:r>
        <w:rPr>
          <w:rFonts w:hint="default" w:ascii="Times New Roman" w:hAnsi="Times New Roman" w:eastAsia="华文仿宋" w:cs="Times New Roman"/>
          <w:color w:val="auto"/>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color w:val="auto"/>
          <w:sz w:val="32"/>
        </w:rPr>
        <w:pict>
          <v:line id="_x0000_s2051" o:spid="_x0000_s2051"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color w:val="auto"/>
          <w:sz w:val="32"/>
        </w:rPr>
        <w:pict>
          <v:line id="_x0000_s2052" o:spid="_x0000_s2052"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市</w:t>
      </w:r>
      <w:r>
        <w:rPr>
          <w:rFonts w:hint="default" w:ascii="Times New Roman" w:hAnsi="Times New Roman" w:eastAsia="华文仿宋" w:cs="Times New Roman"/>
          <w:color w:val="auto"/>
          <w:sz w:val="32"/>
          <w:szCs w:val="32"/>
        </w:rPr>
        <w:t xml:space="preserve">高新区行政审批局           </w:t>
      </w:r>
      <w:r>
        <w:rPr>
          <w:rFonts w:hint="eastAsia" w:eastAsia="华文仿宋" w:cs="Times New Roman"/>
          <w:color w:val="auto"/>
          <w:sz w:val="32"/>
          <w:szCs w:val="32"/>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5</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15</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p>
      <w:pPr>
        <w:pStyle w:val="2"/>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cs="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D4A8A"/>
    <w:rsid w:val="00721E0F"/>
    <w:rsid w:val="008560BE"/>
    <w:rsid w:val="008B010E"/>
    <w:rsid w:val="009A0599"/>
    <w:rsid w:val="00BA08DA"/>
    <w:rsid w:val="00BC5687"/>
    <w:rsid w:val="00CE6876"/>
    <w:rsid w:val="00DE7F36"/>
    <w:rsid w:val="00DF5386"/>
    <w:rsid w:val="03B269EB"/>
    <w:rsid w:val="06C95E74"/>
    <w:rsid w:val="07EF4AC0"/>
    <w:rsid w:val="086C13ED"/>
    <w:rsid w:val="0B017DFC"/>
    <w:rsid w:val="0C7348F6"/>
    <w:rsid w:val="128D6F29"/>
    <w:rsid w:val="13AD6107"/>
    <w:rsid w:val="174B4C0D"/>
    <w:rsid w:val="17AF6709"/>
    <w:rsid w:val="17F40652"/>
    <w:rsid w:val="18372E0F"/>
    <w:rsid w:val="198A7200"/>
    <w:rsid w:val="1B902832"/>
    <w:rsid w:val="2166526B"/>
    <w:rsid w:val="21CB6A60"/>
    <w:rsid w:val="22EF397C"/>
    <w:rsid w:val="246401C0"/>
    <w:rsid w:val="277B5530"/>
    <w:rsid w:val="27BC1E2E"/>
    <w:rsid w:val="2A304B67"/>
    <w:rsid w:val="2C5100B5"/>
    <w:rsid w:val="2DBB221D"/>
    <w:rsid w:val="2E6260A8"/>
    <w:rsid w:val="2F6E616E"/>
    <w:rsid w:val="32CE304A"/>
    <w:rsid w:val="35C34C5F"/>
    <w:rsid w:val="37D63F30"/>
    <w:rsid w:val="38650D70"/>
    <w:rsid w:val="38CE0856"/>
    <w:rsid w:val="396B7181"/>
    <w:rsid w:val="3E277305"/>
    <w:rsid w:val="3F3B789E"/>
    <w:rsid w:val="41A70ABB"/>
    <w:rsid w:val="422D71A3"/>
    <w:rsid w:val="4299329A"/>
    <w:rsid w:val="42C93271"/>
    <w:rsid w:val="430A0DBD"/>
    <w:rsid w:val="433419DE"/>
    <w:rsid w:val="43AC3FCE"/>
    <w:rsid w:val="47D171B3"/>
    <w:rsid w:val="4BFD01D9"/>
    <w:rsid w:val="4C8110D1"/>
    <w:rsid w:val="4E5936D6"/>
    <w:rsid w:val="53C81961"/>
    <w:rsid w:val="5439514D"/>
    <w:rsid w:val="56AD03A4"/>
    <w:rsid w:val="57970437"/>
    <w:rsid w:val="5C8D6DEC"/>
    <w:rsid w:val="5E1C2537"/>
    <w:rsid w:val="60167BD9"/>
    <w:rsid w:val="63FC38AF"/>
    <w:rsid w:val="649D6655"/>
    <w:rsid w:val="668A1FF6"/>
    <w:rsid w:val="692B2656"/>
    <w:rsid w:val="6E984032"/>
    <w:rsid w:val="6EBB720B"/>
    <w:rsid w:val="767370E1"/>
    <w:rsid w:val="795F57FF"/>
    <w:rsid w:val="798448BF"/>
    <w:rsid w:val="7A1824C2"/>
    <w:rsid w:val="7C3D10E8"/>
    <w:rsid w:val="7DE035E1"/>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 w:val="28"/>
      <w:szCs w:val="20"/>
    </w:rPr>
  </w:style>
  <w:style w:type="paragraph" w:styleId="3">
    <w:name w:val="Date"/>
    <w:basedOn w:val="1"/>
    <w:next w:val="1"/>
    <w:link w:val="11"/>
    <w:qFormat/>
    <w:uiPriority w:val="0"/>
    <w:pPr>
      <w:ind w:left="100" w:leftChars="25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rFonts w:eastAsia="仿宋_GB2312"/>
      <w:kern w:val="2"/>
      <w:sz w:val="18"/>
      <w:szCs w:val="18"/>
    </w:rPr>
  </w:style>
  <w:style w:type="character" w:customStyle="1" w:styleId="10">
    <w:name w:val="页脚 Char"/>
    <w:basedOn w:val="7"/>
    <w:link w:val="4"/>
    <w:qFormat/>
    <w:uiPriority w:val="0"/>
    <w:rPr>
      <w:rFonts w:eastAsia="仿宋_GB2312"/>
      <w:kern w:val="2"/>
      <w:sz w:val="18"/>
      <w:szCs w:val="18"/>
    </w:rPr>
  </w:style>
  <w:style w:type="character" w:customStyle="1" w:styleId="11">
    <w:name w:val="日期 Char"/>
    <w:basedOn w:val="7"/>
    <w:link w:val="3"/>
    <w:qFormat/>
    <w:uiPriority w:val="0"/>
    <w:rPr>
      <w:rFonts w:eastAsia="仿宋_GB2312"/>
      <w:kern w:val="2"/>
      <w:sz w:val="30"/>
      <w:szCs w:val="24"/>
    </w:rPr>
  </w:style>
  <w:style w:type="paragraph" w:customStyle="1" w:styleId="12">
    <w:name w:val="Table Paragraph"/>
    <w:basedOn w:val="1"/>
    <w:qFormat/>
    <w:uiPriority w:val="1"/>
    <w:pPr>
      <w:jc w:val="left"/>
    </w:pPr>
    <w:rPr>
      <w:rFonts w:ascii="Calibri" w:hAnsi="Calibri" w:eastAsia="宋体"/>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169</Words>
  <Characters>964</Characters>
  <Lines>8</Lines>
  <Paragraphs>2</Paragraphs>
  <TotalTime>3</TotalTime>
  <ScaleCrop>false</ScaleCrop>
  <LinksUpToDate>false</LinksUpToDate>
  <CharactersWithSpaces>1131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2019-10-22T03:53:00Z</cp:lastPrinted>
  <dcterms:modified xsi:type="dcterms:W3CDTF">2020-05-14T08:35:59Z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